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33892015"/>
        <w:docPartObj>
          <w:docPartGallery w:val="Cover Pages"/>
          <w:docPartUnique/>
        </w:docPartObj>
      </w:sdtPr>
      <w:sdtEndPr/>
      <w:sdtContent>
        <w:p w:rsidR="00687F39" w:rsidRDefault="00687F39" w:rsidP="008945B4">
          <w:r>
            <w:rPr>
              <w:noProof/>
              <w:lang w:eastAsia="en-AU"/>
            </w:rPr>
            <mc:AlternateContent>
              <mc:Choice Requires="wps">
                <w:drawing>
                  <wp:anchor distT="0" distB="0" distL="114300" distR="114300" simplePos="0" relativeHeight="251659264" behindDoc="1" locked="0" layoutInCell="1" allowOverlap="1" wp14:anchorId="0F5758D8" wp14:editId="24F80B98">
                    <wp:simplePos x="0" y="0"/>
                    <wp:positionH relativeFrom="column">
                      <wp:posOffset>-657225</wp:posOffset>
                    </wp:positionH>
                    <wp:positionV relativeFrom="paragraph">
                      <wp:posOffset>-559435</wp:posOffset>
                    </wp:positionV>
                    <wp:extent cx="7058025" cy="10163175"/>
                    <wp:effectExtent l="0" t="0" r="9525" b="9525"/>
                    <wp:wrapNone/>
                    <wp:docPr id="3" name="Rectangle 3"/>
                    <wp:cNvGraphicFramePr/>
                    <a:graphic xmlns:a="http://schemas.openxmlformats.org/drawingml/2006/main">
                      <a:graphicData uri="http://schemas.microsoft.com/office/word/2010/wordprocessingShape">
                        <wps:wsp>
                          <wps:cNvSpPr/>
                          <wps:spPr>
                            <a:xfrm>
                              <a:off x="0" y="0"/>
                              <a:ext cx="7058025" cy="101631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51.75pt;margin-top:-44.05pt;width:555.75pt;height:800.2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MxlAIAAIYFAAAOAAAAZHJzL2Uyb0RvYy54bWysVEtv2zAMvg/YfxB0X20nTR9BnSJI0WFA&#10;0RZth54VWYoNyKImKXGyXz9Ksp2uK3YYloMiih8/Pkzy6nrfKrIT1jWgS1qc5JQIzaFq9Kak319u&#10;v1xQ4jzTFVOgRUkPwtHrxedPV52ZiwnUoCphCZJoN+9MSWvvzTzLHK9Fy9wJGKFRKcG2zKNoN1ll&#10;WYfsrcomeX6WdWArY4EL5/D1JinpIvJLKbh/kNIJT1RJMTYfTxvPdTizxRWbbywzdcP7MNg/RNGy&#10;RqPTkeqGeUa2tvmDqm24BQfSn3BoM5Cy4SLmgNkU+btsnmtmRMwFi+PMWCb3/2j5/e7RkqYq6ZQS&#10;zVr8RE9YNKY3SpBpKE9n3BxRz+bR9pLDa8h1L20b/jELso8lPYwlFXtPOD6e57OLfDKjhKOuyIuz&#10;aXE+C7TZ0d5Y578KaEm4lNSi/1hLtrtzPkEHSHDnQDXVbaNUFEKjiJWyZMfwE683k578N5TSAash&#10;WCXC8JKF1FIy8eYPSgSc0k9CYk0w/EkMJHbj0QnjXGhfJFXNKpF8z3L8Dd6HsGKikTAwS/Q/cvcE&#10;AzKRDNwpyh4fTEVs5tE4/1tgyXi0iJ5B+9G4bTTYjwgUZtV7TvihSKk0oUprqA7YMRbSKDnDbxv8&#10;bHfM+UdmcXZwynAf+Ac8pIKupNDfKKnB/vzoPeCxpVFLSYezWFL3Y8usoER909jsl8XpaRjeKJzO&#10;zico2Lea9VuN3rYrwF4ocPMYHq8B79VwlRbaV1wby+AVVUxz9F1S7u0grHzaEbh4uFguIwwH1jB/&#10;p58ND+ShqqEtX/avzJq+dz32/T0Mc8vm71o4YYOlhuXWg2xifx/r2tcbhz02Tr+YwjZ5K0fUcX0u&#10;fgEAAP//AwBQSwMEFAAGAAgAAAAhAJTjr0PhAAAADgEAAA8AAABkcnMvZG93bnJldi54bWxMj8FO&#10;wzAQRO9I/IO1SNxaO4FWaRqnqhAcuCBRUMXRiZ3EIl5HttuGv2d7gtuM9ml2ptrNbmRnE6L1KCFb&#10;CmAGW68t9hI+P14WBbCYFGo1ejQSfkyEXX17U6lS+wu+m/Mh9YxCMJZKwpDSVHIe28E4FZd+Mki3&#10;zgenEtnQcx3UhcLdyHMh1twpi/RhUJN5Gkz7fTg5Cdi9rjfWvnUx7I/u+Jx3X03Ppby/m/dbYMnM&#10;6Q+Ga32qDjV1avwJdWSjhEUmHlbEkiqKDNgVEaKgfQ2pVZY/Aq8r/n9G/QsAAP//AwBQSwECLQAU&#10;AAYACAAAACEAtoM4kv4AAADhAQAAEwAAAAAAAAAAAAAAAAAAAAAAW0NvbnRlbnRfVHlwZXNdLnht&#10;bFBLAQItABQABgAIAAAAIQA4/SH/1gAAAJQBAAALAAAAAAAAAAAAAAAAAC8BAABfcmVscy8ucmVs&#10;c1BLAQItABQABgAIAAAAIQBzLjMxlAIAAIYFAAAOAAAAAAAAAAAAAAAAAC4CAABkcnMvZTJvRG9j&#10;LnhtbFBLAQItABQABgAIAAAAIQCU469D4QAAAA4BAAAPAAAAAAAAAAAAAAAAAO4EAABkcnMvZG93&#10;bnJldi54bWxQSwUGAAAAAAQABADzAAAA/AUAAAAA&#10;" fillcolor="#d5d6d2 [3214]" stroked="f" strokeweight="2pt"/>
                </w:pict>
              </mc:Fallback>
            </mc:AlternateContent>
          </w:r>
          <w:r>
            <w:rPr>
              <w:noProof/>
              <w:lang w:eastAsia="en-AU"/>
            </w:rPr>
            <w:drawing>
              <wp:inline distT="0" distB="0" distL="0" distR="0" wp14:anchorId="5AE197BD" wp14:editId="1B871F7B">
                <wp:extent cx="2725235" cy="609600"/>
                <wp:effectExtent l="0" t="0" r="0" b="0"/>
                <wp:docPr id="4" name="Picture 4" title="AC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C+GovtCrest_PMS286_CMY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4028" cy="609330"/>
                        </a:xfrm>
                        <a:prstGeom prst="rect">
                          <a:avLst/>
                        </a:prstGeom>
                      </pic:spPr>
                    </pic:pic>
                  </a:graphicData>
                </a:graphic>
              </wp:inline>
            </w:drawing>
          </w:r>
        </w:p>
        <w:p w:rsidR="00687F39" w:rsidRPr="005E6C0E" w:rsidRDefault="00687F39" w:rsidP="00181223"/>
        <w:tbl>
          <w:tblPr>
            <w:tblStyle w:val="TableGrid"/>
            <w:tblW w:w="0" w:type="auto"/>
            <w:tblBorders>
              <w:top w:val="none" w:sz="0" w:space="0" w:color="auto"/>
              <w:bottom w:val="none" w:sz="0" w:space="0" w:color="auto"/>
            </w:tblBorders>
            <w:tblLook w:val="0400" w:firstRow="0" w:lastRow="0" w:firstColumn="0" w:lastColumn="0" w:noHBand="0" w:noVBand="1"/>
          </w:tblPr>
          <w:tblGrid>
            <w:gridCol w:w="9242"/>
          </w:tblGrid>
          <w:tr w:rsidR="00687F39" w:rsidRPr="00C755AD" w:rsidTr="00C755AD">
            <w:trPr>
              <w:trHeight w:val="3135"/>
            </w:trPr>
            <w:tc>
              <w:tcPr>
                <w:tcW w:w="9242" w:type="dxa"/>
              </w:tcPr>
              <w:p w:rsidR="00687F39" w:rsidRPr="00C755AD" w:rsidRDefault="00687F39" w:rsidP="00C755AD">
                <w:pPr>
                  <w:spacing w:before="720"/>
                  <w:contextualSpacing/>
                  <w:outlineLvl w:val="0"/>
                  <w:rPr>
                    <w:rFonts w:asciiTheme="majorHAnsi" w:eastAsiaTheme="majorEastAsia" w:hAnsiTheme="majorHAnsi" w:cstheme="majorBidi"/>
                    <w:color w:val="4F2D7D" w:themeColor="accent2"/>
                    <w:spacing w:val="5"/>
                    <w:kern w:val="28"/>
                    <w:sz w:val="72"/>
                    <w:szCs w:val="52"/>
                  </w:rPr>
                </w:pPr>
              </w:p>
            </w:tc>
          </w:tr>
          <w:tr w:rsidR="00687F39" w:rsidRPr="00C755AD" w:rsidTr="00C755AD">
            <w:tc>
              <w:tcPr>
                <w:tcW w:w="9242" w:type="dxa"/>
              </w:tcPr>
              <w:p w:rsidR="00687F39" w:rsidRPr="00C755AD" w:rsidRDefault="00B7149B" w:rsidP="00303C4A">
                <w:pPr>
                  <w:pStyle w:val="Title"/>
                </w:pPr>
                <w:bookmarkStart w:id="1" w:name="_Toc430695240"/>
                <w:r w:rsidRPr="00B7149B">
                  <w:rPr>
                    <w:b/>
                    <w:bCs/>
                    <w:sz w:val="56"/>
                  </w:rPr>
                  <w:t>Cosmetic Subscription Services Survey</w:t>
                </w:r>
                <w:bookmarkEnd w:id="1"/>
              </w:p>
            </w:tc>
          </w:tr>
          <w:tr w:rsidR="00687F39" w:rsidRPr="00C755AD" w:rsidTr="00C755AD">
            <w:tc>
              <w:tcPr>
                <w:tcW w:w="9242" w:type="dxa"/>
              </w:tcPr>
              <w:p w:rsidR="00687F39" w:rsidRPr="00C755AD" w:rsidRDefault="00B7149B" w:rsidP="00303C4A">
                <w:pPr>
                  <w:pStyle w:val="Subtitle"/>
                </w:pPr>
                <w:r w:rsidRPr="00B7149B">
                  <w:rPr>
                    <w:b/>
                    <w:bCs/>
                    <w:sz w:val="40"/>
                  </w:rPr>
                  <w:t xml:space="preserve">Compliance with ingredient labelling requirements of the </w:t>
                </w:r>
                <w:r w:rsidRPr="00B7149B">
                  <w:rPr>
                    <w:b/>
                    <w:bCs/>
                    <w:i/>
                    <w:sz w:val="40"/>
                  </w:rPr>
                  <w:t>Trade Practices (Consumer Product Information Standards) (Cosmetics) Regulations 1991</w:t>
                </w:r>
              </w:p>
            </w:tc>
          </w:tr>
          <w:tr w:rsidR="00687F39" w:rsidRPr="00C755AD" w:rsidTr="00C755AD">
            <w:tc>
              <w:tcPr>
                <w:tcW w:w="9242" w:type="dxa"/>
              </w:tcPr>
              <w:p w:rsidR="00687F39" w:rsidRPr="00C755AD" w:rsidRDefault="00687F39" w:rsidP="00303C4A"/>
              <w:p w:rsidR="00687F39" w:rsidRPr="00911F68" w:rsidRDefault="004C1A8F" w:rsidP="00303C4A">
                <w:pPr>
                  <w:pStyle w:val="CoverDate"/>
                  <w:rPr>
                    <w:b/>
                  </w:rPr>
                </w:pPr>
                <w:r w:rsidRPr="00911F68">
                  <w:rPr>
                    <w:b/>
                    <w:color w:val="4F2D7D" w:themeColor="accent2"/>
                  </w:rPr>
                  <w:t>October</w:t>
                </w:r>
                <w:r w:rsidR="00CC25BF" w:rsidRPr="00911F68">
                  <w:rPr>
                    <w:b/>
                    <w:color w:val="4F2D7D" w:themeColor="accent2"/>
                  </w:rPr>
                  <w:t xml:space="preserve"> 2015</w:t>
                </w:r>
              </w:p>
            </w:tc>
          </w:tr>
        </w:tbl>
        <w:p w:rsidR="00687F39" w:rsidRPr="003B5A70" w:rsidRDefault="00687F39" w:rsidP="005E6C0E">
          <w:pPr>
            <w:tabs>
              <w:tab w:val="left" w:pos="340"/>
              <w:tab w:val="left" w:pos="680"/>
              <w:tab w:val="left" w:pos="1021"/>
              <w:tab w:val="left" w:pos="1361"/>
            </w:tabs>
          </w:pPr>
        </w:p>
        <w:tbl>
          <w:tblPr>
            <w:tblStyle w:val="TableGrid"/>
            <w:tblW w:w="0" w:type="auto"/>
            <w:tblLook w:val="0620" w:firstRow="1" w:lastRow="0" w:firstColumn="0" w:lastColumn="0" w:noHBand="1" w:noVBand="1"/>
          </w:tblPr>
          <w:tblGrid>
            <w:gridCol w:w="1951"/>
            <w:gridCol w:w="1276"/>
            <w:gridCol w:w="6015"/>
          </w:tblGrid>
          <w:tr w:rsidR="00687F39" w:rsidRPr="00687F39" w:rsidTr="00687F39">
            <w:trPr>
              <w:cnfStyle w:val="100000000000" w:firstRow="1" w:lastRow="0" w:firstColumn="0" w:lastColumn="0" w:oddVBand="0" w:evenVBand="0" w:oddHBand="0" w:evenHBand="0" w:firstRowFirstColumn="0" w:firstRowLastColumn="0" w:lastRowFirstColumn="0" w:lastRowLastColumn="0"/>
            </w:trPr>
            <w:tc>
              <w:tcPr>
                <w:tcW w:w="9242" w:type="dxa"/>
                <w:gridSpan w:val="3"/>
                <w:tcBorders>
                  <w:bottom w:val="single" w:sz="4" w:space="0" w:color="C0C2BC" w:themeColor="background2" w:themeShade="E6"/>
                </w:tcBorders>
              </w:tcPr>
              <w:p w:rsidR="00687F39" w:rsidRPr="00687F39" w:rsidRDefault="00687F39" w:rsidP="00E63639">
                <w:pPr>
                  <w:rPr>
                    <w:color w:val="000000" w:themeColor="text1" w:themeShade="BF"/>
                  </w:rPr>
                </w:pPr>
              </w:p>
            </w:tc>
          </w:tr>
          <w:tr w:rsidR="00687F39" w:rsidRPr="00687F39" w:rsidTr="00687F39">
            <w:tc>
              <w:tcPr>
                <w:tcW w:w="1951" w:type="dxa"/>
                <w:tcBorders>
                  <w:top w:val="single" w:sz="4" w:space="0" w:color="C0C2BC" w:themeColor="background2" w:themeShade="E6"/>
                </w:tcBorders>
              </w:tcPr>
              <w:p w:rsidR="00687F39" w:rsidRPr="00687F39" w:rsidRDefault="00687F39" w:rsidP="009F2BE5">
                <w:pPr>
                  <w:pStyle w:val="Tabletext"/>
                </w:pPr>
              </w:p>
            </w:tc>
            <w:tc>
              <w:tcPr>
                <w:tcW w:w="1276" w:type="dxa"/>
                <w:tcBorders>
                  <w:top w:val="single" w:sz="4" w:space="0" w:color="C0C2BC" w:themeColor="background2" w:themeShade="E6"/>
                </w:tcBorders>
              </w:tcPr>
              <w:p w:rsidR="00687F39" w:rsidRPr="00687F39" w:rsidRDefault="00687F39" w:rsidP="009F2BE5">
                <w:pPr>
                  <w:pStyle w:val="Tabletext"/>
                </w:pPr>
              </w:p>
            </w:tc>
            <w:tc>
              <w:tcPr>
                <w:tcW w:w="6015" w:type="dxa"/>
                <w:tcBorders>
                  <w:top w:val="single" w:sz="4" w:space="0" w:color="C0C2BC" w:themeColor="background2" w:themeShade="E6"/>
                </w:tcBorders>
              </w:tcPr>
              <w:p w:rsidR="00687F39" w:rsidRPr="009F2BE5" w:rsidRDefault="00687F39" w:rsidP="009F2BE5">
                <w:pPr>
                  <w:pStyle w:val="Tabletext"/>
                </w:pPr>
              </w:p>
            </w:tc>
          </w:tr>
          <w:tr w:rsidR="00687F39" w:rsidRPr="00687F39" w:rsidTr="00687F39">
            <w:tc>
              <w:tcPr>
                <w:tcW w:w="1951" w:type="dxa"/>
              </w:tcPr>
              <w:p w:rsidR="00687F39" w:rsidRPr="00687F39" w:rsidRDefault="00687F39" w:rsidP="00687F39">
                <w:pPr>
                  <w:spacing w:before="120" w:after="120" w:line="240" w:lineRule="atLeast"/>
                  <w:rPr>
                    <w:color w:val="000000" w:themeColor="text1" w:themeShade="BF"/>
                  </w:rPr>
                </w:pPr>
              </w:p>
            </w:tc>
            <w:tc>
              <w:tcPr>
                <w:tcW w:w="1276" w:type="dxa"/>
              </w:tcPr>
              <w:p w:rsidR="00687F39" w:rsidRPr="00687F39" w:rsidRDefault="00687F39" w:rsidP="00687F39">
                <w:pPr>
                  <w:spacing w:before="120" w:after="120" w:line="240" w:lineRule="atLeast"/>
                  <w:rPr>
                    <w:color w:val="000000" w:themeColor="text1" w:themeShade="BF"/>
                  </w:rPr>
                </w:pPr>
              </w:p>
            </w:tc>
            <w:tc>
              <w:tcPr>
                <w:tcW w:w="6015" w:type="dxa"/>
              </w:tcPr>
              <w:p w:rsidR="00687F39" w:rsidRPr="00687F39" w:rsidRDefault="00687F39" w:rsidP="00687F39">
                <w:pPr>
                  <w:spacing w:before="120" w:after="120" w:line="240" w:lineRule="atLeast"/>
                  <w:rPr>
                    <w:color w:val="000000" w:themeColor="text1" w:themeShade="BF"/>
                  </w:rPr>
                </w:pPr>
              </w:p>
            </w:tc>
          </w:tr>
          <w:tr w:rsidR="00687F39" w:rsidRPr="00687F39" w:rsidTr="00687F39">
            <w:tc>
              <w:tcPr>
                <w:tcW w:w="1951" w:type="dxa"/>
              </w:tcPr>
              <w:p w:rsidR="00687F39" w:rsidRPr="00687F39" w:rsidRDefault="00687F39" w:rsidP="00687F39">
                <w:pPr>
                  <w:spacing w:before="120" w:after="120" w:line="240" w:lineRule="atLeast"/>
                  <w:rPr>
                    <w:color w:val="000000" w:themeColor="text1" w:themeShade="BF"/>
                  </w:rPr>
                </w:pPr>
              </w:p>
            </w:tc>
            <w:tc>
              <w:tcPr>
                <w:tcW w:w="1276" w:type="dxa"/>
              </w:tcPr>
              <w:p w:rsidR="00687F39" w:rsidRPr="00687F39" w:rsidRDefault="00687F39" w:rsidP="00687F39">
                <w:pPr>
                  <w:spacing w:before="120" w:after="120" w:line="240" w:lineRule="atLeast"/>
                  <w:rPr>
                    <w:color w:val="000000" w:themeColor="text1" w:themeShade="BF"/>
                  </w:rPr>
                </w:pPr>
              </w:p>
            </w:tc>
            <w:tc>
              <w:tcPr>
                <w:tcW w:w="6015" w:type="dxa"/>
              </w:tcPr>
              <w:p w:rsidR="00687F39" w:rsidRPr="00687F39" w:rsidRDefault="00687F39" w:rsidP="00687F39">
                <w:pPr>
                  <w:spacing w:before="120" w:after="120" w:line="240" w:lineRule="atLeast"/>
                  <w:rPr>
                    <w:color w:val="000000" w:themeColor="text1" w:themeShade="BF"/>
                  </w:rPr>
                </w:pPr>
              </w:p>
            </w:tc>
          </w:tr>
          <w:tr w:rsidR="00687F39" w:rsidRPr="00687F39" w:rsidTr="00687F39">
            <w:tc>
              <w:tcPr>
                <w:tcW w:w="1951" w:type="dxa"/>
                <w:tcBorders>
                  <w:bottom w:val="nil"/>
                </w:tcBorders>
              </w:tcPr>
              <w:p w:rsidR="00687F39" w:rsidRPr="00687F39" w:rsidRDefault="00687F39" w:rsidP="00687F39">
                <w:pPr>
                  <w:spacing w:before="120" w:after="120" w:line="240" w:lineRule="atLeast"/>
                  <w:rPr>
                    <w:color w:val="000000" w:themeColor="text1" w:themeShade="BF"/>
                  </w:rPr>
                </w:pPr>
              </w:p>
            </w:tc>
            <w:tc>
              <w:tcPr>
                <w:tcW w:w="1276" w:type="dxa"/>
                <w:tcBorders>
                  <w:bottom w:val="nil"/>
                </w:tcBorders>
              </w:tcPr>
              <w:p w:rsidR="00687F39" w:rsidRPr="00687F39" w:rsidRDefault="00687F39" w:rsidP="00687F39">
                <w:pPr>
                  <w:spacing w:before="120" w:after="120" w:line="240" w:lineRule="atLeast"/>
                  <w:rPr>
                    <w:color w:val="000000" w:themeColor="text1" w:themeShade="BF"/>
                  </w:rPr>
                </w:pPr>
              </w:p>
            </w:tc>
            <w:tc>
              <w:tcPr>
                <w:tcW w:w="6015" w:type="dxa"/>
                <w:tcBorders>
                  <w:bottom w:val="nil"/>
                </w:tcBorders>
              </w:tcPr>
              <w:p w:rsidR="00687F39" w:rsidRPr="00687F39" w:rsidRDefault="00687F39" w:rsidP="00687F39">
                <w:pPr>
                  <w:spacing w:before="120" w:after="120" w:line="240" w:lineRule="atLeast"/>
                  <w:rPr>
                    <w:color w:val="000000" w:themeColor="text1" w:themeShade="BF"/>
                  </w:rPr>
                </w:pPr>
              </w:p>
            </w:tc>
          </w:tr>
          <w:tr w:rsidR="00687F39" w:rsidRPr="00687F39" w:rsidTr="00687F39">
            <w:tc>
              <w:tcPr>
                <w:tcW w:w="1951" w:type="dxa"/>
                <w:tcBorders>
                  <w:top w:val="nil"/>
                  <w:bottom w:val="nil"/>
                </w:tcBorders>
              </w:tcPr>
              <w:p w:rsidR="00687F39" w:rsidRPr="00687F39" w:rsidRDefault="00687F39" w:rsidP="00687F39">
                <w:pPr>
                  <w:spacing w:before="120" w:after="120" w:line="240" w:lineRule="atLeast"/>
                  <w:rPr>
                    <w:color w:val="000000" w:themeColor="text1" w:themeShade="BF"/>
                  </w:rPr>
                </w:pPr>
              </w:p>
            </w:tc>
            <w:tc>
              <w:tcPr>
                <w:tcW w:w="1276" w:type="dxa"/>
                <w:tcBorders>
                  <w:top w:val="nil"/>
                  <w:bottom w:val="nil"/>
                </w:tcBorders>
              </w:tcPr>
              <w:p w:rsidR="00687F39" w:rsidRPr="00687F39" w:rsidRDefault="00687F39" w:rsidP="00687F39">
                <w:pPr>
                  <w:spacing w:before="120" w:after="120" w:line="240" w:lineRule="atLeast"/>
                  <w:rPr>
                    <w:color w:val="000000" w:themeColor="text1" w:themeShade="BF"/>
                  </w:rPr>
                </w:pPr>
              </w:p>
            </w:tc>
            <w:tc>
              <w:tcPr>
                <w:tcW w:w="6015" w:type="dxa"/>
                <w:tcBorders>
                  <w:top w:val="nil"/>
                  <w:bottom w:val="nil"/>
                </w:tcBorders>
              </w:tcPr>
              <w:p w:rsidR="00687F39" w:rsidRPr="00687F39" w:rsidRDefault="00687F39" w:rsidP="00687F39">
                <w:pPr>
                  <w:spacing w:before="120" w:after="120" w:line="240" w:lineRule="atLeast"/>
                  <w:rPr>
                    <w:color w:val="000000" w:themeColor="text1" w:themeShade="BF"/>
                  </w:rPr>
                </w:pPr>
              </w:p>
            </w:tc>
          </w:tr>
        </w:tbl>
        <w:p w:rsidR="00687F39" w:rsidRDefault="00687F39">
          <w:r>
            <w:br w:type="page"/>
          </w:r>
        </w:p>
        <w:sdt>
          <w:sdtPr>
            <w:rPr>
              <w:rFonts w:ascii="Arial" w:eastAsiaTheme="minorHAnsi" w:hAnsi="Arial" w:cstheme="minorBidi"/>
              <w:bCs w:val="0"/>
              <w:color w:val="auto"/>
              <w:sz w:val="22"/>
              <w:szCs w:val="22"/>
              <w:lang w:val="en-AU" w:eastAsia="en-US"/>
            </w:rPr>
            <w:id w:val="1169761255"/>
            <w:docPartObj>
              <w:docPartGallery w:val="Table of Contents"/>
              <w:docPartUnique/>
            </w:docPartObj>
          </w:sdtPr>
          <w:sdtEndPr>
            <w:rPr>
              <w:b/>
            </w:rPr>
          </w:sdtEndPr>
          <w:sdtContent>
            <w:p w:rsidR="009F2BE5" w:rsidRDefault="009F2BE5" w:rsidP="00F62AB3">
              <w:pPr>
                <w:pStyle w:val="TOCHeading"/>
              </w:pPr>
              <w:r>
                <w:t>Contents</w:t>
              </w:r>
            </w:p>
            <w:p w:rsidR="003451A4" w:rsidRDefault="009F2BE5">
              <w:pPr>
                <w:pStyle w:val="TOC1"/>
                <w:rPr>
                  <w:rFonts w:asciiTheme="minorHAnsi" w:eastAsiaTheme="minorEastAsia" w:hAnsiTheme="minorHAnsi"/>
                  <w:lang w:val="en-AU" w:eastAsia="en-AU"/>
                </w:rPr>
              </w:pPr>
              <w:r>
                <w:fldChar w:fldCharType="begin"/>
              </w:r>
              <w:r>
                <w:instrText xml:space="preserve"> TOC \o "1-3" \h \z \u \t "Heading 6,1" </w:instrText>
              </w:r>
              <w:r>
                <w:fldChar w:fldCharType="separate"/>
              </w:r>
              <w:hyperlink w:anchor="_Toc430695240" w:history="1">
                <w:r w:rsidR="003451A4" w:rsidRPr="000A74AB">
                  <w:rPr>
                    <w:rStyle w:val="Hyperlink"/>
                    <w:b/>
                    <w:bCs/>
                  </w:rPr>
                  <w:t>Cosmetic Subscription Services Survey</w:t>
                </w:r>
                <w:r w:rsidR="003451A4">
                  <w:rPr>
                    <w:webHidden/>
                  </w:rPr>
                  <w:tab/>
                </w:r>
                <w:r w:rsidR="003451A4">
                  <w:rPr>
                    <w:webHidden/>
                  </w:rPr>
                  <w:fldChar w:fldCharType="begin"/>
                </w:r>
                <w:r w:rsidR="003451A4">
                  <w:rPr>
                    <w:webHidden/>
                  </w:rPr>
                  <w:instrText xml:space="preserve"> PAGEREF _Toc430695240 \h </w:instrText>
                </w:r>
                <w:r w:rsidR="003451A4">
                  <w:rPr>
                    <w:webHidden/>
                  </w:rPr>
                </w:r>
                <w:r w:rsidR="003451A4">
                  <w:rPr>
                    <w:webHidden/>
                  </w:rPr>
                  <w:fldChar w:fldCharType="separate"/>
                </w:r>
                <w:r w:rsidR="00E96360">
                  <w:rPr>
                    <w:webHidden/>
                  </w:rPr>
                  <w:t>0</w:t>
                </w:r>
                <w:r w:rsidR="003451A4">
                  <w:rPr>
                    <w:webHidden/>
                  </w:rPr>
                  <w:fldChar w:fldCharType="end"/>
                </w:r>
              </w:hyperlink>
            </w:p>
            <w:p w:rsidR="003451A4" w:rsidRDefault="00E81906">
              <w:pPr>
                <w:pStyle w:val="TOC1"/>
                <w:rPr>
                  <w:rFonts w:asciiTheme="minorHAnsi" w:eastAsiaTheme="minorEastAsia" w:hAnsiTheme="minorHAnsi"/>
                  <w:lang w:val="en-AU" w:eastAsia="en-AU"/>
                </w:rPr>
              </w:pPr>
              <w:hyperlink w:anchor="_Toc430695241" w:history="1">
                <w:r w:rsidR="003451A4" w:rsidRPr="000A74AB">
                  <w:rPr>
                    <w:rStyle w:val="Hyperlink"/>
                  </w:rPr>
                  <w:t>1.</w:t>
                </w:r>
                <w:r w:rsidR="003451A4">
                  <w:rPr>
                    <w:rFonts w:asciiTheme="minorHAnsi" w:eastAsiaTheme="minorEastAsia" w:hAnsiTheme="minorHAnsi"/>
                    <w:lang w:val="en-AU" w:eastAsia="en-AU"/>
                  </w:rPr>
                  <w:tab/>
                </w:r>
                <w:r w:rsidR="003451A4" w:rsidRPr="000A74AB">
                  <w:rPr>
                    <w:rStyle w:val="Hyperlink"/>
                  </w:rPr>
                  <w:t>Background</w:t>
                </w:r>
                <w:r w:rsidR="003451A4">
                  <w:rPr>
                    <w:webHidden/>
                  </w:rPr>
                  <w:tab/>
                </w:r>
                <w:r w:rsidR="003451A4">
                  <w:rPr>
                    <w:webHidden/>
                  </w:rPr>
                  <w:fldChar w:fldCharType="begin"/>
                </w:r>
                <w:r w:rsidR="003451A4">
                  <w:rPr>
                    <w:webHidden/>
                  </w:rPr>
                  <w:instrText xml:space="preserve"> PAGEREF _Toc430695241 \h </w:instrText>
                </w:r>
                <w:r w:rsidR="003451A4">
                  <w:rPr>
                    <w:webHidden/>
                  </w:rPr>
                </w:r>
                <w:r w:rsidR="003451A4">
                  <w:rPr>
                    <w:webHidden/>
                  </w:rPr>
                  <w:fldChar w:fldCharType="separate"/>
                </w:r>
                <w:r w:rsidR="00E96360">
                  <w:rPr>
                    <w:webHidden/>
                  </w:rPr>
                  <w:t>2</w:t>
                </w:r>
                <w:r w:rsidR="003451A4">
                  <w:rPr>
                    <w:webHidden/>
                  </w:rPr>
                  <w:fldChar w:fldCharType="end"/>
                </w:r>
              </w:hyperlink>
            </w:p>
            <w:p w:rsidR="003451A4" w:rsidRDefault="00E81906">
              <w:pPr>
                <w:pStyle w:val="TOC1"/>
                <w:rPr>
                  <w:rFonts w:asciiTheme="minorHAnsi" w:eastAsiaTheme="minorEastAsia" w:hAnsiTheme="minorHAnsi"/>
                  <w:lang w:val="en-AU" w:eastAsia="en-AU"/>
                </w:rPr>
              </w:pPr>
              <w:hyperlink w:anchor="_Toc430695242" w:history="1">
                <w:r w:rsidR="003451A4" w:rsidRPr="000A74AB">
                  <w:rPr>
                    <w:rStyle w:val="Hyperlink"/>
                  </w:rPr>
                  <w:t>2.</w:t>
                </w:r>
                <w:r w:rsidR="003451A4">
                  <w:rPr>
                    <w:rFonts w:asciiTheme="minorHAnsi" w:eastAsiaTheme="minorEastAsia" w:hAnsiTheme="minorHAnsi"/>
                    <w:lang w:val="en-AU" w:eastAsia="en-AU"/>
                  </w:rPr>
                  <w:tab/>
                </w:r>
                <w:r w:rsidR="003451A4" w:rsidRPr="000A74AB">
                  <w:rPr>
                    <w:rStyle w:val="Hyperlink"/>
                  </w:rPr>
                  <w:t>Potential hazards</w:t>
                </w:r>
                <w:r w:rsidR="003451A4">
                  <w:rPr>
                    <w:webHidden/>
                  </w:rPr>
                  <w:tab/>
                </w:r>
                <w:r w:rsidR="003451A4">
                  <w:rPr>
                    <w:webHidden/>
                  </w:rPr>
                  <w:fldChar w:fldCharType="begin"/>
                </w:r>
                <w:r w:rsidR="003451A4">
                  <w:rPr>
                    <w:webHidden/>
                  </w:rPr>
                  <w:instrText xml:space="preserve"> PAGEREF _Toc430695242 \h </w:instrText>
                </w:r>
                <w:r w:rsidR="003451A4">
                  <w:rPr>
                    <w:webHidden/>
                  </w:rPr>
                </w:r>
                <w:r w:rsidR="003451A4">
                  <w:rPr>
                    <w:webHidden/>
                  </w:rPr>
                  <w:fldChar w:fldCharType="separate"/>
                </w:r>
                <w:r w:rsidR="00E96360">
                  <w:rPr>
                    <w:webHidden/>
                  </w:rPr>
                  <w:t>2</w:t>
                </w:r>
                <w:r w:rsidR="003451A4">
                  <w:rPr>
                    <w:webHidden/>
                  </w:rPr>
                  <w:fldChar w:fldCharType="end"/>
                </w:r>
              </w:hyperlink>
            </w:p>
            <w:p w:rsidR="003451A4" w:rsidRDefault="00E81906">
              <w:pPr>
                <w:pStyle w:val="TOC1"/>
                <w:rPr>
                  <w:rFonts w:asciiTheme="minorHAnsi" w:eastAsiaTheme="minorEastAsia" w:hAnsiTheme="minorHAnsi"/>
                  <w:lang w:val="en-AU" w:eastAsia="en-AU"/>
                </w:rPr>
              </w:pPr>
              <w:hyperlink w:anchor="_Toc430695243" w:history="1">
                <w:r w:rsidR="003451A4" w:rsidRPr="000A74AB">
                  <w:rPr>
                    <w:rStyle w:val="Hyperlink"/>
                  </w:rPr>
                  <w:t>3.</w:t>
                </w:r>
                <w:r w:rsidR="003451A4">
                  <w:rPr>
                    <w:rFonts w:asciiTheme="minorHAnsi" w:eastAsiaTheme="minorEastAsia" w:hAnsiTheme="minorHAnsi"/>
                    <w:lang w:val="en-AU" w:eastAsia="en-AU"/>
                  </w:rPr>
                  <w:tab/>
                </w:r>
                <w:r w:rsidR="003451A4" w:rsidRPr="000A74AB">
                  <w:rPr>
                    <w:rStyle w:val="Hyperlink"/>
                  </w:rPr>
                  <w:t>Regulations and standards</w:t>
                </w:r>
                <w:r w:rsidR="003451A4">
                  <w:rPr>
                    <w:webHidden/>
                  </w:rPr>
                  <w:tab/>
                </w:r>
                <w:r w:rsidR="003451A4">
                  <w:rPr>
                    <w:webHidden/>
                  </w:rPr>
                  <w:fldChar w:fldCharType="begin"/>
                </w:r>
                <w:r w:rsidR="003451A4">
                  <w:rPr>
                    <w:webHidden/>
                  </w:rPr>
                  <w:instrText xml:space="preserve"> PAGEREF _Toc430695243 \h </w:instrText>
                </w:r>
                <w:r w:rsidR="003451A4">
                  <w:rPr>
                    <w:webHidden/>
                  </w:rPr>
                </w:r>
                <w:r w:rsidR="003451A4">
                  <w:rPr>
                    <w:webHidden/>
                  </w:rPr>
                  <w:fldChar w:fldCharType="separate"/>
                </w:r>
                <w:r w:rsidR="00E96360">
                  <w:rPr>
                    <w:webHidden/>
                  </w:rPr>
                  <w:t>2</w:t>
                </w:r>
                <w:r w:rsidR="003451A4">
                  <w:rPr>
                    <w:webHidden/>
                  </w:rPr>
                  <w:fldChar w:fldCharType="end"/>
                </w:r>
              </w:hyperlink>
            </w:p>
            <w:p w:rsidR="003451A4" w:rsidRDefault="00E81906">
              <w:pPr>
                <w:pStyle w:val="TOC2"/>
                <w:rPr>
                  <w:rFonts w:asciiTheme="minorHAnsi" w:eastAsiaTheme="minorEastAsia" w:hAnsiTheme="minorHAnsi"/>
                  <w:lang w:eastAsia="en-AU"/>
                </w:rPr>
              </w:pPr>
              <w:hyperlink w:anchor="_Toc430695244" w:history="1">
                <w:r w:rsidR="003451A4" w:rsidRPr="000A74AB">
                  <w:rPr>
                    <w:rStyle w:val="Hyperlink"/>
                  </w:rPr>
                  <w:t>3.1.</w:t>
                </w:r>
                <w:r w:rsidR="003451A4">
                  <w:rPr>
                    <w:rFonts w:asciiTheme="minorHAnsi" w:eastAsiaTheme="minorEastAsia" w:hAnsiTheme="minorHAnsi"/>
                    <w:lang w:eastAsia="en-AU"/>
                  </w:rPr>
                  <w:tab/>
                </w:r>
                <w:r w:rsidR="003451A4" w:rsidRPr="000A74AB">
                  <w:rPr>
                    <w:rStyle w:val="Hyperlink"/>
                  </w:rPr>
                  <w:t>Australian regulation</w:t>
                </w:r>
                <w:r w:rsidR="003451A4">
                  <w:rPr>
                    <w:webHidden/>
                  </w:rPr>
                  <w:tab/>
                </w:r>
                <w:r w:rsidR="003451A4">
                  <w:rPr>
                    <w:webHidden/>
                  </w:rPr>
                  <w:fldChar w:fldCharType="begin"/>
                </w:r>
                <w:r w:rsidR="003451A4">
                  <w:rPr>
                    <w:webHidden/>
                  </w:rPr>
                  <w:instrText xml:space="preserve"> PAGEREF _Toc430695244 \h </w:instrText>
                </w:r>
                <w:r w:rsidR="003451A4">
                  <w:rPr>
                    <w:webHidden/>
                  </w:rPr>
                </w:r>
                <w:r w:rsidR="003451A4">
                  <w:rPr>
                    <w:webHidden/>
                  </w:rPr>
                  <w:fldChar w:fldCharType="separate"/>
                </w:r>
                <w:r w:rsidR="00E96360">
                  <w:rPr>
                    <w:webHidden/>
                  </w:rPr>
                  <w:t>2</w:t>
                </w:r>
                <w:r w:rsidR="003451A4">
                  <w:rPr>
                    <w:webHidden/>
                  </w:rPr>
                  <w:fldChar w:fldCharType="end"/>
                </w:r>
              </w:hyperlink>
            </w:p>
            <w:p w:rsidR="003451A4" w:rsidRDefault="00E81906">
              <w:pPr>
                <w:pStyle w:val="TOC2"/>
                <w:rPr>
                  <w:rFonts w:asciiTheme="minorHAnsi" w:eastAsiaTheme="minorEastAsia" w:hAnsiTheme="minorHAnsi"/>
                  <w:lang w:eastAsia="en-AU"/>
                </w:rPr>
              </w:pPr>
              <w:hyperlink w:anchor="_Toc430695245" w:history="1">
                <w:r w:rsidR="003451A4" w:rsidRPr="000A74AB">
                  <w:rPr>
                    <w:rStyle w:val="Hyperlink"/>
                  </w:rPr>
                  <w:t>3.2.</w:t>
                </w:r>
                <w:r w:rsidR="003451A4">
                  <w:rPr>
                    <w:rFonts w:asciiTheme="minorHAnsi" w:eastAsiaTheme="minorEastAsia" w:hAnsiTheme="minorHAnsi"/>
                    <w:lang w:eastAsia="en-AU"/>
                  </w:rPr>
                  <w:tab/>
                </w:r>
                <w:r w:rsidR="003451A4" w:rsidRPr="000A74AB">
                  <w:rPr>
                    <w:rStyle w:val="Hyperlink"/>
                  </w:rPr>
                  <w:t>International regulations</w:t>
                </w:r>
                <w:r w:rsidR="003451A4">
                  <w:rPr>
                    <w:webHidden/>
                  </w:rPr>
                  <w:tab/>
                </w:r>
                <w:r w:rsidR="003451A4">
                  <w:rPr>
                    <w:webHidden/>
                  </w:rPr>
                  <w:fldChar w:fldCharType="begin"/>
                </w:r>
                <w:r w:rsidR="003451A4">
                  <w:rPr>
                    <w:webHidden/>
                  </w:rPr>
                  <w:instrText xml:space="preserve"> PAGEREF _Toc430695245 \h </w:instrText>
                </w:r>
                <w:r w:rsidR="003451A4">
                  <w:rPr>
                    <w:webHidden/>
                  </w:rPr>
                </w:r>
                <w:r w:rsidR="003451A4">
                  <w:rPr>
                    <w:webHidden/>
                  </w:rPr>
                  <w:fldChar w:fldCharType="separate"/>
                </w:r>
                <w:r w:rsidR="00E96360">
                  <w:rPr>
                    <w:webHidden/>
                  </w:rPr>
                  <w:t>3</w:t>
                </w:r>
                <w:r w:rsidR="003451A4">
                  <w:rPr>
                    <w:webHidden/>
                  </w:rPr>
                  <w:fldChar w:fldCharType="end"/>
                </w:r>
              </w:hyperlink>
            </w:p>
            <w:p w:rsidR="003451A4" w:rsidRDefault="00E81906">
              <w:pPr>
                <w:pStyle w:val="TOC3"/>
                <w:rPr>
                  <w:rFonts w:asciiTheme="minorHAnsi" w:eastAsiaTheme="minorEastAsia" w:hAnsiTheme="minorHAnsi"/>
                  <w:lang w:eastAsia="en-AU"/>
                </w:rPr>
              </w:pPr>
              <w:hyperlink w:anchor="_Toc430695246" w:history="1">
                <w:r w:rsidR="003451A4" w:rsidRPr="000A74AB">
                  <w:rPr>
                    <w:rStyle w:val="Hyperlink"/>
                    <w:lang w:val="en"/>
                  </w:rPr>
                  <w:t>USA</w:t>
                </w:r>
                <w:r w:rsidR="00E301BF">
                  <w:rPr>
                    <w:webHidden/>
                  </w:rPr>
                  <w:tab/>
                </w:r>
                <w:r w:rsidR="00E301BF">
                  <w:rPr>
                    <w:webHidden/>
                  </w:rPr>
                  <w:tab/>
                </w:r>
                <w:r w:rsidR="003451A4">
                  <w:rPr>
                    <w:webHidden/>
                  </w:rPr>
                  <w:fldChar w:fldCharType="begin"/>
                </w:r>
                <w:r w:rsidR="003451A4">
                  <w:rPr>
                    <w:webHidden/>
                  </w:rPr>
                  <w:instrText xml:space="preserve"> PAGEREF _Toc430695246 \h </w:instrText>
                </w:r>
                <w:r w:rsidR="003451A4">
                  <w:rPr>
                    <w:webHidden/>
                  </w:rPr>
                </w:r>
                <w:r w:rsidR="003451A4">
                  <w:rPr>
                    <w:webHidden/>
                  </w:rPr>
                  <w:fldChar w:fldCharType="separate"/>
                </w:r>
                <w:r w:rsidR="00E96360">
                  <w:rPr>
                    <w:webHidden/>
                  </w:rPr>
                  <w:t>3</w:t>
                </w:r>
                <w:r w:rsidR="003451A4">
                  <w:rPr>
                    <w:webHidden/>
                  </w:rPr>
                  <w:fldChar w:fldCharType="end"/>
                </w:r>
              </w:hyperlink>
            </w:p>
            <w:p w:rsidR="003451A4" w:rsidRDefault="00E81906">
              <w:pPr>
                <w:pStyle w:val="TOC3"/>
                <w:rPr>
                  <w:rFonts w:asciiTheme="minorHAnsi" w:eastAsiaTheme="minorEastAsia" w:hAnsiTheme="minorHAnsi"/>
                  <w:lang w:eastAsia="en-AU"/>
                </w:rPr>
              </w:pPr>
              <w:hyperlink w:anchor="_Toc430695247" w:history="1">
                <w:r w:rsidR="003451A4" w:rsidRPr="000A74AB">
                  <w:rPr>
                    <w:rStyle w:val="Hyperlink"/>
                    <w:lang w:val="en"/>
                  </w:rPr>
                  <w:t>EU</w:t>
                </w:r>
                <w:r w:rsidR="003451A4">
                  <w:rPr>
                    <w:webHidden/>
                  </w:rPr>
                  <w:tab/>
                </w:r>
                <w:r w:rsidR="00E301BF">
                  <w:rPr>
                    <w:webHidden/>
                  </w:rPr>
                  <w:tab/>
                </w:r>
                <w:r w:rsidR="003451A4">
                  <w:rPr>
                    <w:webHidden/>
                  </w:rPr>
                  <w:fldChar w:fldCharType="begin"/>
                </w:r>
                <w:r w:rsidR="003451A4">
                  <w:rPr>
                    <w:webHidden/>
                  </w:rPr>
                  <w:instrText xml:space="preserve"> PAGEREF _Toc430695247 \h </w:instrText>
                </w:r>
                <w:r w:rsidR="003451A4">
                  <w:rPr>
                    <w:webHidden/>
                  </w:rPr>
                </w:r>
                <w:r w:rsidR="003451A4">
                  <w:rPr>
                    <w:webHidden/>
                  </w:rPr>
                  <w:fldChar w:fldCharType="separate"/>
                </w:r>
                <w:r w:rsidR="00E96360">
                  <w:rPr>
                    <w:webHidden/>
                  </w:rPr>
                  <w:t>3</w:t>
                </w:r>
                <w:r w:rsidR="003451A4">
                  <w:rPr>
                    <w:webHidden/>
                  </w:rPr>
                  <w:fldChar w:fldCharType="end"/>
                </w:r>
              </w:hyperlink>
            </w:p>
            <w:p w:rsidR="003451A4" w:rsidRDefault="00E81906">
              <w:pPr>
                <w:pStyle w:val="TOC1"/>
                <w:rPr>
                  <w:rFonts w:asciiTheme="minorHAnsi" w:eastAsiaTheme="minorEastAsia" w:hAnsiTheme="minorHAnsi"/>
                  <w:lang w:val="en-AU" w:eastAsia="en-AU"/>
                </w:rPr>
              </w:pPr>
              <w:hyperlink w:anchor="_Toc430695248" w:history="1">
                <w:r w:rsidR="003451A4" w:rsidRPr="000A74AB">
                  <w:rPr>
                    <w:rStyle w:val="Hyperlink"/>
                  </w:rPr>
                  <w:t>4.</w:t>
                </w:r>
                <w:r w:rsidR="003451A4">
                  <w:rPr>
                    <w:rFonts w:asciiTheme="minorHAnsi" w:eastAsiaTheme="minorEastAsia" w:hAnsiTheme="minorHAnsi"/>
                    <w:lang w:val="en-AU" w:eastAsia="en-AU"/>
                  </w:rPr>
                  <w:tab/>
                </w:r>
                <w:r w:rsidR="003451A4" w:rsidRPr="000A74AB">
                  <w:rPr>
                    <w:rStyle w:val="Hyperlink"/>
                  </w:rPr>
                  <w:t>Survey aim and methodology</w:t>
                </w:r>
                <w:r w:rsidR="003451A4">
                  <w:rPr>
                    <w:webHidden/>
                  </w:rPr>
                  <w:tab/>
                </w:r>
                <w:r w:rsidR="003451A4">
                  <w:rPr>
                    <w:webHidden/>
                  </w:rPr>
                  <w:fldChar w:fldCharType="begin"/>
                </w:r>
                <w:r w:rsidR="003451A4">
                  <w:rPr>
                    <w:webHidden/>
                  </w:rPr>
                  <w:instrText xml:space="preserve"> PAGEREF _Toc430695248 \h </w:instrText>
                </w:r>
                <w:r w:rsidR="003451A4">
                  <w:rPr>
                    <w:webHidden/>
                  </w:rPr>
                </w:r>
                <w:r w:rsidR="003451A4">
                  <w:rPr>
                    <w:webHidden/>
                  </w:rPr>
                  <w:fldChar w:fldCharType="separate"/>
                </w:r>
                <w:r w:rsidR="00E96360">
                  <w:rPr>
                    <w:webHidden/>
                  </w:rPr>
                  <w:t>3</w:t>
                </w:r>
                <w:r w:rsidR="003451A4">
                  <w:rPr>
                    <w:webHidden/>
                  </w:rPr>
                  <w:fldChar w:fldCharType="end"/>
                </w:r>
              </w:hyperlink>
            </w:p>
            <w:p w:rsidR="003451A4" w:rsidRDefault="00E81906">
              <w:pPr>
                <w:pStyle w:val="TOC1"/>
                <w:rPr>
                  <w:rFonts w:asciiTheme="minorHAnsi" w:eastAsiaTheme="minorEastAsia" w:hAnsiTheme="minorHAnsi"/>
                  <w:lang w:val="en-AU" w:eastAsia="en-AU"/>
                </w:rPr>
              </w:pPr>
              <w:hyperlink w:anchor="_Toc430695249" w:history="1">
                <w:r w:rsidR="003451A4" w:rsidRPr="000A74AB">
                  <w:rPr>
                    <w:rStyle w:val="Hyperlink"/>
                  </w:rPr>
                  <w:t>5.</w:t>
                </w:r>
                <w:r w:rsidR="003451A4">
                  <w:rPr>
                    <w:rFonts w:asciiTheme="minorHAnsi" w:eastAsiaTheme="minorEastAsia" w:hAnsiTheme="minorHAnsi"/>
                    <w:lang w:val="en-AU" w:eastAsia="en-AU"/>
                  </w:rPr>
                  <w:tab/>
                </w:r>
                <w:r w:rsidR="003451A4" w:rsidRPr="000A74AB">
                  <w:rPr>
                    <w:rStyle w:val="Hyperlink"/>
                  </w:rPr>
                  <w:t>Results</w:t>
                </w:r>
                <w:r w:rsidR="003451A4">
                  <w:rPr>
                    <w:webHidden/>
                  </w:rPr>
                  <w:tab/>
                </w:r>
                <w:r w:rsidR="003451A4">
                  <w:rPr>
                    <w:webHidden/>
                  </w:rPr>
                  <w:fldChar w:fldCharType="begin"/>
                </w:r>
                <w:r w:rsidR="003451A4">
                  <w:rPr>
                    <w:webHidden/>
                  </w:rPr>
                  <w:instrText xml:space="preserve"> PAGEREF _Toc430695249 \h </w:instrText>
                </w:r>
                <w:r w:rsidR="003451A4">
                  <w:rPr>
                    <w:webHidden/>
                  </w:rPr>
                </w:r>
                <w:r w:rsidR="003451A4">
                  <w:rPr>
                    <w:webHidden/>
                  </w:rPr>
                  <w:fldChar w:fldCharType="separate"/>
                </w:r>
                <w:r w:rsidR="00E96360">
                  <w:rPr>
                    <w:webHidden/>
                  </w:rPr>
                  <w:t>3</w:t>
                </w:r>
                <w:r w:rsidR="003451A4">
                  <w:rPr>
                    <w:webHidden/>
                  </w:rPr>
                  <w:fldChar w:fldCharType="end"/>
                </w:r>
              </w:hyperlink>
            </w:p>
            <w:p w:rsidR="003451A4" w:rsidRDefault="00E81906">
              <w:pPr>
                <w:pStyle w:val="TOC2"/>
                <w:rPr>
                  <w:rFonts w:asciiTheme="minorHAnsi" w:eastAsiaTheme="minorEastAsia" w:hAnsiTheme="minorHAnsi"/>
                  <w:lang w:eastAsia="en-AU"/>
                </w:rPr>
              </w:pPr>
              <w:hyperlink w:anchor="_Toc430695250" w:history="1">
                <w:r w:rsidR="003451A4" w:rsidRPr="000A74AB">
                  <w:rPr>
                    <w:rStyle w:val="Hyperlink"/>
                  </w:rPr>
                  <w:t>5.1.</w:t>
                </w:r>
                <w:r w:rsidR="003451A4">
                  <w:rPr>
                    <w:rFonts w:asciiTheme="minorHAnsi" w:eastAsiaTheme="minorEastAsia" w:hAnsiTheme="minorHAnsi"/>
                    <w:lang w:eastAsia="en-AU"/>
                  </w:rPr>
                  <w:tab/>
                </w:r>
                <w:r w:rsidR="003451A4" w:rsidRPr="000A74AB">
                  <w:rPr>
                    <w:rStyle w:val="Hyperlink"/>
                  </w:rPr>
                  <w:t>Other issues</w:t>
                </w:r>
                <w:r w:rsidR="003451A4">
                  <w:rPr>
                    <w:webHidden/>
                  </w:rPr>
                  <w:tab/>
                </w:r>
                <w:r w:rsidR="003451A4">
                  <w:rPr>
                    <w:webHidden/>
                  </w:rPr>
                  <w:fldChar w:fldCharType="begin"/>
                </w:r>
                <w:r w:rsidR="003451A4">
                  <w:rPr>
                    <w:webHidden/>
                  </w:rPr>
                  <w:instrText xml:space="preserve"> PAGEREF _Toc430695250 \h </w:instrText>
                </w:r>
                <w:r w:rsidR="003451A4">
                  <w:rPr>
                    <w:webHidden/>
                  </w:rPr>
                </w:r>
                <w:r w:rsidR="003451A4">
                  <w:rPr>
                    <w:webHidden/>
                  </w:rPr>
                  <w:fldChar w:fldCharType="separate"/>
                </w:r>
                <w:r w:rsidR="00E96360">
                  <w:rPr>
                    <w:webHidden/>
                  </w:rPr>
                  <w:t>5</w:t>
                </w:r>
                <w:r w:rsidR="003451A4">
                  <w:rPr>
                    <w:webHidden/>
                  </w:rPr>
                  <w:fldChar w:fldCharType="end"/>
                </w:r>
              </w:hyperlink>
            </w:p>
            <w:p w:rsidR="003451A4" w:rsidRDefault="00E81906">
              <w:pPr>
                <w:pStyle w:val="TOC1"/>
                <w:rPr>
                  <w:rFonts w:asciiTheme="minorHAnsi" w:eastAsiaTheme="minorEastAsia" w:hAnsiTheme="minorHAnsi"/>
                  <w:lang w:val="en-AU" w:eastAsia="en-AU"/>
                </w:rPr>
              </w:pPr>
              <w:hyperlink w:anchor="_Toc430695251" w:history="1">
                <w:r w:rsidR="003451A4" w:rsidRPr="000A74AB">
                  <w:rPr>
                    <w:rStyle w:val="Hyperlink"/>
                  </w:rPr>
                  <w:t>6.</w:t>
                </w:r>
                <w:r w:rsidR="003451A4">
                  <w:rPr>
                    <w:rFonts w:asciiTheme="minorHAnsi" w:eastAsiaTheme="minorEastAsia" w:hAnsiTheme="minorHAnsi"/>
                    <w:lang w:val="en-AU" w:eastAsia="en-AU"/>
                  </w:rPr>
                  <w:tab/>
                </w:r>
                <w:r w:rsidR="003451A4" w:rsidRPr="000A74AB">
                  <w:rPr>
                    <w:rStyle w:val="Hyperlink"/>
                  </w:rPr>
                  <w:t>Conclusion</w:t>
                </w:r>
                <w:r w:rsidR="003451A4">
                  <w:rPr>
                    <w:webHidden/>
                  </w:rPr>
                  <w:tab/>
                </w:r>
                <w:r w:rsidR="003451A4">
                  <w:rPr>
                    <w:webHidden/>
                  </w:rPr>
                  <w:fldChar w:fldCharType="begin"/>
                </w:r>
                <w:r w:rsidR="003451A4">
                  <w:rPr>
                    <w:webHidden/>
                  </w:rPr>
                  <w:instrText xml:space="preserve"> PAGEREF _Toc430695251 \h </w:instrText>
                </w:r>
                <w:r w:rsidR="003451A4">
                  <w:rPr>
                    <w:webHidden/>
                  </w:rPr>
                </w:r>
                <w:r w:rsidR="003451A4">
                  <w:rPr>
                    <w:webHidden/>
                  </w:rPr>
                  <w:fldChar w:fldCharType="separate"/>
                </w:r>
                <w:r w:rsidR="00E96360">
                  <w:rPr>
                    <w:webHidden/>
                  </w:rPr>
                  <w:t>5</w:t>
                </w:r>
                <w:r w:rsidR="003451A4">
                  <w:rPr>
                    <w:webHidden/>
                  </w:rPr>
                  <w:fldChar w:fldCharType="end"/>
                </w:r>
              </w:hyperlink>
            </w:p>
            <w:p w:rsidR="009F2BE5" w:rsidRDefault="009F2BE5">
              <w:r>
                <w:rPr>
                  <w:b/>
                </w:rPr>
                <w:fldChar w:fldCharType="end"/>
              </w:r>
            </w:p>
          </w:sdtContent>
        </w:sdt>
        <w:p w:rsidR="009F2BE5" w:rsidRDefault="009F2BE5">
          <w:r>
            <w:br w:type="page"/>
          </w:r>
        </w:p>
        <w:p w:rsidR="00687F39" w:rsidRDefault="00E81906"/>
      </w:sdtContent>
    </w:sdt>
    <w:p w:rsidR="00687F39" w:rsidRPr="006950BD" w:rsidRDefault="00B7149B" w:rsidP="006950BD">
      <w:pPr>
        <w:pStyle w:val="Numbered1"/>
      </w:pPr>
      <w:bookmarkStart w:id="2" w:name="_Toc430695241"/>
      <w:r w:rsidRPr="006950BD">
        <w:t>Background</w:t>
      </w:r>
      <w:bookmarkEnd w:id="2"/>
    </w:p>
    <w:p w:rsidR="00275AA5" w:rsidRDefault="00275AA5" w:rsidP="00275AA5">
      <w:r>
        <w:t xml:space="preserve">The Australian Competition and Consumer Commission (ACCC) plays an important role in consumer product safety. The ACCC administers national product safety regulations under the </w:t>
      </w:r>
      <w:r w:rsidRPr="001C5006">
        <w:rPr>
          <w:i/>
        </w:rPr>
        <w:t xml:space="preserve">Competition and Consumer Act 2010 </w:t>
      </w:r>
      <w:r>
        <w:t>(CCA) and monitors the safety of general consumer products. This includes educating suppliers and consumers about regulations, emerging issues, and the safe use of products to minimise the risk of injuries.</w:t>
      </w:r>
    </w:p>
    <w:p w:rsidR="00B15F94" w:rsidRPr="001C5006" w:rsidRDefault="00B15F94" w:rsidP="00B15F94">
      <w:r w:rsidRPr="00A67AD2">
        <w:t xml:space="preserve">The ACCC Infocentre received a </w:t>
      </w:r>
      <w:r w:rsidR="001C5006">
        <w:t xml:space="preserve">consumer </w:t>
      </w:r>
      <w:r w:rsidRPr="00A67AD2">
        <w:t xml:space="preserve">complaint about cosmetics subscription services for supplying cosmetics without providing ingredient lists as required in </w:t>
      </w:r>
      <w:r w:rsidRPr="00A67AD2">
        <w:rPr>
          <w:i/>
        </w:rPr>
        <w:t xml:space="preserve">Trade Practices (Consumer Product Information Standards) (Cosmetics) Regulations 1991 </w:t>
      </w:r>
      <w:r w:rsidRPr="00A67AD2">
        <w:t>(the Mandatory Standard</w:t>
      </w:r>
      <w:r w:rsidRPr="001C5006">
        <w:t>). A web search provided further evidence that cosmetics subscription services were supplying unlabelled products.</w:t>
      </w:r>
    </w:p>
    <w:p w:rsidR="00275AA5" w:rsidRPr="00275AA5" w:rsidRDefault="00275AA5" w:rsidP="00275AA5">
      <w:r>
        <w:t>Cosmetic subscription services are an online business model that charges subscribers a monthly fee to regularly receive a b</w:t>
      </w:r>
      <w:r w:rsidR="00384FB8">
        <w:t>ox of different cosmetics</w:t>
      </w:r>
      <w:r>
        <w:t xml:space="preserve">. The consumer does not usually know what cosmetics they will receive each month. Cosmetic products supplied in these subscriptions may be small promotional samples or full sized products designed for retail. Deliveries may also contain related products such as hair and make-up tools, vouchers for entertainment or services, food and other consumer goods (eg candles, stationery, jewellery, textiles). The business model is growing in popularity overseas and in Australia, and some deliver internationally. Previous ACCC surveillance of cosmetics has not </w:t>
      </w:r>
      <w:r w:rsidR="00FC39E3">
        <w:t>covered</w:t>
      </w:r>
      <w:r>
        <w:t xml:space="preserve"> cosmetic subscription services</w:t>
      </w:r>
      <w:r w:rsidR="00953AC4">
        <w:t>.</w:t>
      </w:r>
    </w:p>
    <w:p w:rsidR="006950BD" w:rsidRDefault="006950BD" w:rsidP="006950BD">
      <w:pPr>
        <w:pStyle w:val="Numbered1"/>
      </w:pPr>
      <w:bookmarkStart w:id="3" w:name="_Toc430695242"/>
      <w:bookmarkStart w:id="4" w:name="_Toc414270385"/>
      <w:r>
        <w:t>Potential hazards</w:t>
      </w:r>
      <w:bookmarkEnd w:id="3"/>
    </w:p>
    <w:p w:rsidR="002C6C71" w:rsidRDefault="008801AF" w:rsidP="008801AF">
      <w:r w:rsidRPr="008801AF">
        <w:t xml:space="preserve">Labelling of ingredients on cosmetics is important because it helps consumers identify and avoid ingredients that they may be allergic or sensitive to, or otherwise concerned about. Consumers who suffer an adverse reaction from a cosmetic are also able to quickly check the ingredients list to identify the possible causes and seek appropriate treatment. </w:t>
      </w:r>
    </w:p>
    <w:p w:rsidR="00FB3A05" w:rsidRPr="00FB3A05" w:rsidRDefault="008801AF" w:rsidP="00FB3A05">
      <w:r w:rsidRPr="008801AF">
        <w:t>Cosmetics are frequently used products which account for a significant number of the injury reports received by the ACCC.</w:t>
      </w:r>
      <w:r w:rsidR="002C6C71">
        <w:t xml:space="preserve"> </w:t>
      </w:r>
      <w:r w:rsidR="00FB3A05">
        <w:t xml:space="preserve">Injuries include </w:t>
      </w:r>
      <w:r w:rsidR="00FB3A05" w:rsidRPr="00FB3A05">
        <w:t xml:space="preserve">skin </w:t>
      </w:r>
      <w:r w:rsidR="004A4B4B">
        <w:t xml:space="preserve">irritation, </w:t>
      </w:r>
      <w:r w:rsidR="00FB3A05" w:rsidRPr="00FB3A05">
        <w:t>infections, bacterial conjunctivitis, folliculitis, corneal ulcers and anaphyla</w:t>
      </w:r>
      <w:r w:rsidR="00384FB8">
        <w:t>xis.</w:t>
      </w:r>
    </w:p>
    <w:p w:rsidR="006950BD" w:rsidRPr="00FB3A05" w:rsidRDefault="006950BD" w:rsidP="00FB3A05">
      <w:pPr>
        <w:pStyle w:val="Numbered1"/>
      </w:pPr>
      <w:bookmarkStart w:id="5" w:name="_Toc430695243"/>
      <w:r w:rsidRPr="00FB3A05">
        <w:t>Regulations and standards</w:t>
      </w:r>
      <w:bookmarkEnd w:id="5"/>
    </w:p>
    <w:p w:rsidR="00AF34EA" w:rsidRDefault="00A67AD2" w:rsidP="00AF34EA">
      <w:pPr>
        <w:pStyle w:val="Numbered11"/>
      </w:pPr>
      <w:bookmarkStart w:id="6" w:name="_Toc430695244"/>
      <w:r>
        <w:t>Australia</w:t>
      </w:r>
      <w:r w:rsidR="00313954">
        <w:t>n regulation</w:t>
      </w:r>
      <w:bookmarkEnd w:id="6"/>
    </w:p>
    <w:p w:rsidR="001A0F46" w:rsidRDefault="00A67AD2" w:rsidP="00224EBF">
      <w:r>
        <w:t>The Mandatory Standard</w:t>
      </w:r>
      <w:r w:rsidR="005F2B34">
        <w:t xml:space="preserve"> requires </w:t>
      </w:r>
      <w:r w:rsidR="00421130">
        <w:t>cosmetic products</w:t>
      </w:r>
      <w:r w:rsidR="005F2B34">
        <w:t xml:space="preserve"> to be labelled </w:t>
      </w:r>
      <w:r w:rsidR="00394E63">
        <w:t xml:space="preserve">with a list of ingredients </w:t>
      </w:r>
      <w:r w:rsidR="00421130">
        <w:t xml:space="preserve">on the </w:t>
      </w:r>
      <w:r w:rsidR="00384FB8">
        <w:t>product or product container</w:t>
      </w:r>
      <w:r w:rsidR="00394E63">
        <w:t>.</w:t>
      </w:r>
      <w:r w:rsidR="00421130">
        <w:t xml:space="preserve"> </w:t>
      </w:r>
      <w:r w:rsidR="00394E63">
        <w:t>The i</w:t>
      </w:r>
      <w:r w:rsidR="005F2B34">
        <w:t>ngredient</w:t>
      </w:r>
      <w:r w:rsidR="00421130">
        <w:t>s</w:t>
      </w:r>
      <w:r w:rsidR="00394E63">
        <w:t xml:space="preserve"> must be provided</w:t>
      </w:r>
      <w:r w:rsidR="00421130">
        <w:t xml:space="preserve"> in </w:t>
      </w:r>
      <w:r w:rsidR="00394E63">
        <w:t>English and</w:t>
      </w:r>
      <w:r w:rsidR="00F37D2C">
        <w:t xml:space="preserve"> listed in descending order by volume or mass. </w:t>
      </w:r>
    </w:p>
    <w:p w:rsidR="00B51778" w:rsidRDefault="00394E63" w:rsidP="00224EBF">
      <w:r>
        <w:t>The Mandatory Standard also requires the ingredient list to be</w:t>
      </w:r>
      <w:r w:rsidR="00F37D2C">
        <w:t xml:space="preserve"> prominently shown and clearly legible</w:t>
      </w:r>
      <w:r w:rsidR="00642BD9">
        <w:t xml:space="preserve">. </w:t>
      </w:r>
      <w:r w:rsidR="004F2D02">
        <w:t xml:space="preserve">'Prominent' means that the ingredients list should ‘stand out’ on the product so that consumers can easily find the list on the product or container. 'Clearly legible' means that a person with normal vision can read the whole ingredients list on the product or container without </w:t>
      </w:r>
      <w:r w:rsidR="00384FB8">
        <w:t xml:space="preserve">error, </w:t>
      </w:r>
      <w:r w:rsidR="004F2D02">
        <w:t>strain or difficulty. Together these elements ensure that the information is effectively communicated to consumers.</w:t>
      </w:r>
      <w:r w:rsidR="00B51778">
        <w:t xml:space="preserve"> </w:t>
      </w:r>
    </w:p>
    <w:p w:rsidR="007769A1" w:rsidRDefault="004F2D02" w:rsidP="00224EBF">
      <w:r>
        <w:t xml:space="preserve">These are mandatory requirements, so they must be prioritised over other label design criteria such as cost, practicality or visual aesthetics. Products with packaging devices that potentially hide an ingredient list from plain view (like peel away or clam shell labels) may not </w:t>
      </w:r>
      <w:r w:rsidR="00642BD9">
        <w:lastRenderedPageBreak/>
        <w:t>comply unless there are clear directions that</w:t>
      </w:r>
      <w:r>
        <w:t xml:space="preserve"> ensure the ingredients list is prominent and clearly legible to consumers.</w:t>
      </w:r>
      <w:r w:rsidR="00B51778">
        <w:t xml:space="preserve"> </w:t>
      </w:r>
      <w:r w:rsidR="00642BD9">
        <w:t>If the size, shape or nature of the product does not allow for this, the ingredients may be provided in another way to ensure consumers are informed</w:t>
      </w:r>
      <w:r>
        <w:t xml:space="preserve">. However, if </w:t>
      </w:r>
      <w:r w:rsidR="00642BD9">
        <w:t>it is possible to display the</w:t>
      </w:r>
      <w:r>
        <w:t xml:space="preserve"> ingredients on the product or container, this is not an available option.</w:t>
      </w:r>
      <w:r w:rsidR="00B51778">
        <w:t xml:space="preserve"> </w:t>
      </w:r>
      <w:r w:rsidR="00F37D2C">
        <w:t xml:space="preserve">Exceptions to these requirements apply to </w:t>
      </w:r>
      <w:r w:rsidR="00E35709">
        <w:t>therapeutic goods</w:t>
      </w:r>
      <w:r w:rsidR="00F37D2C">
        <w:t xml:space="preserve">, </w:t>
      </w:r>
      <w:r w:rsidR="00E35709">
        <w:t>free samples or</w:t>
      </w:r>
      <w:r w:rsidR="00F37D2C">
        <w:t xml:space="preserve"> testers.</w:t>
      </w:r>
    </w:p>
    <w:p w:rsidR="007769A1" w:rsidRDefault="00CC16E4" w:rsidP="00224EBF">
      <w:r>
        <w:t xml:space="preserve">In addition to </w:t>
      </w:r>
      <w:r w:rsidR="005E52E8">
        <w:t>the Mandatory Standard</w:t>
      </w:r>
      <w:r w:rsidR="009403C4">
        <w:t xml:space="preserve">, </w:t>
      </w:r>
      <w:r w:rsidR="005E52E8">
        <w:t xml:space="preserve">cosmetic products must meet the requirements of the </w:t>
      </w:r>
      <w:r w:rsidR="005E52E8" w:rsidRPr="007769A1">
        <w:rPr>
          <w:i/>
        </w:rPr>
        <w:t>Cosmetics Standard 2007</w:t>
      </w:r>
      <w:r w:rsidR="005E52E8">
        <w:t xml:space="preserve"> under the </w:t>
      </w:r>
      <w:r w:rsidR="005E52E8" w:rsidRPr="007769A1">
        <w:rPr>
          <w:i/>
        </w:rPr>
        <w:t>Industrial Chemicals (Notification and Assessment) Act 1989</w:t>
      </w:r>
      <w:r w:rsidR="005E52E8">
        <w:rPr>
          <w:i/>
        </w:rPr>
        <w:t>.</w:t>
      </w:r>
      <w:r w:rsidR="009403C4">
        <w:t xml:space="preserve"> </w:t>
      </w:r>
      <w:r w:rsidR="005E52E8">
        <w:t>I</w:t>
      </w:r>
      <w:r w:rsidR="009403C4" w:rsidRPr="009403C4">
        <w:t>ngredients</w:t>
      </w:r>
      <w:r w:rsidR="009403C4">
        <w:t xml:space="preserve"> must be registered on the Australian Inventory of Chemical Substances </w:t>
      </w:r>
      <w:r w:rsidR="00C8519F">
        <w:t xml:space="preserve">and </w:t>
      </w:r>
      <w:r>
        <w:t xml:space="preserve">must </w:t>
      </w:r>
      <w:r w:rsidR="007769A1">
        <w:t xml:space="preserve">comply with any </w:t>
      </w:r>
      <w:r w:rsidR="00384FB8">
        <w:t xml:space="preserve">applicable </w:t>
      </w:r>
      <w:r w:rsidR="007769A1">
        <w:t>requirements in the S</w:t>
      </w:r>
      <w:r w:rsidR="009403C4">
        <w:t xml:space="preserve">tandard for the </w:t>
      </w:r>
      <w:r w:rsidR="007769A1">
        <w:t>U</w:t>
      </w:r>
      <w:r w:rsidR="009403C4">
        <w:t xml:space="preserve">niform </w:t>
      </w:r>
      <w:r w:rsidR="007769A1">
        <w:t>S</w:t>
      </w:r>
      <w:r w:rsidR="009403C4">
        <w:t xml:space="preserve">cheduling of </w:t>
      </w:r>
      <w:r w:rsidR="007769A1">
        <w:t>M</w:t>
      </w:r>
      <w:r w:rsidR="009403C4">
        <w:t xml:space="preserve">edicines and </w:t>
      </w:r>
      <w:r w:rsidR="007769A1">
        <w:t>P</w:t>
      </w:r>
      <w:r w:rsidR="009403C4">
        <w:t>oisons</w:t>
      </w:r>
      <w:r w:rsidR="002C0CB1">
        <w:t xml:space="preserve"> (the Poisons Standard)</w:t>
      </w:r>
      <w:r w:rsidR="007769A1">
        <w:t>.</w:t>
      </w:r>
    </w:p>
    <w:p w:rsidR="00224EBF" w:rsidRDefault="00313954" w:rsidP="00AF34EA">
      <w:pPr>
        <w:pStyle w:val="Numbered11"/>
      </w:pPr>
      <w:bookmarkStart w:id="7" w:name="_Toc430695245"/>
      <w:r>
        <w:t>International</w:t>
      </w:r>
      <w:r w:rsidR="00224EBF">
        <w:t xml:space="preserve"> </w:t>
      </w:r>
      <w:r>
        <w:t>regulations</w:t>
      </w:r>
      <w:bookmarkEnd w:id="7"/>
    </w:p>
    <w:p w:rsidR="00313954" w:rsidRDefault="00313954" w:rsidP="00313954">
      <w:pPr>
        <w:pStyle w:val="Heading3"/>
        <w:rPr>
          <w:lang w:val="en"/>
        </w:rPr>
      </w:pPr>
      <w:bookmarkStart w:id="8" w:name="_Toc430695246"/>
      <w:r>
        <w:rPr>
          <w:lang w:val="en"/>
        </w:rPr>
        <w:t>USA</w:t>
      </w:r>
      <w:bookmarkEnd w:id="8"/>
    </w:p>
    <w:p w:rsidR="00D820F4" w:rsidRDefault="00D820F4" w:rsidP="00D820F4">
      <w:pPr>
        <w:rPr>
          <w:rFonts w:ascii="Helvetica" w:hAnsi="Helvetica" w:cs="Helvetica"/>
          <w:color w:val="333333"/>
          <w:lang w:val="en"/>
        </w:rPr>
      </w:pPr>
      <w:r>
        <w:rPr>
          <w:rFonts w:ascii="Helvetica" w:hAnsi="Helvetica" w:cs="Helvetica"/>
          <w:color w:val="333333"/>
          <w:lang w:val="en"/>
        </w:rPr>
        <w:t>The United States require cosmetics to be labelled with ingredients under the</w:t>
      </w:r>
      <w:r w:rsidR="00313954">
        <w:rPr>
          <w:rFonts w:ascii="Helvetica" w:hAnsi="Helvetica" w:cs="Helvetica"/>
          <w:color w:val="333333"/>
          <w:lang w:val="en"/>
        </w:rPr>
        <w:t xml:space="preserve"> Fair Packaging and Labelling Act</w:t>
      </w:r>
      <w:r>
        <w:rPr>
          <w:rFonts w:ascii="Helvetica" w:hAnsi="Helvetica" w:cs="Helvetica"/>
          <w:color w:val="333333"/>
          <w:lang w:val="en"/>
        </w:rPr>
        <w:t>. The ingredients must be declared in de</w:t>
      </w:r>
      <w:r w:rsidR="00001862">
        <w:rPr>
          <w:rFonts w:ascii="Helvetica" w:hAnsi="Helvetica" w:cs="Helvetica"/>
          <w:color w:val="333333"/>
          <w:lang w:val="en"/>
        </w:rPr>
        <w:t xml:space="preserve">scending order of predominance and </w:t>
      </w:r>
      <w:r w:rsidR="00EF6859">
        <w:rPr>
          <w:rFonts w:ascii="Helvetica" w:hAnsi="Helvetica" w:cs="Helvetica"/>
          <w:color w:val="333333"/>
          <w:lang w:val="en"/>
        </w:rPr>
        <w:t>there are</w:t>
      </w:r>
      <w:r w:rsidR="008B7DB2">
        <w:rPr>
          <w:rFonts w:ascii="Helvetica" w:hAnsi="Helvetica" w:cs="Helvetica"/>
          <w:color w:val="333333"/>
          <w:lang w:val="en"/>
        </w:rPr>
        <w:t xml:space="preserve"> specific requirements </w:t>
      </w:r>
      <w:r w:rsidR="00001862">
        <w:rPr>
          <w:rFonts w:ascii="Helvetica" w:hAnsi="Helvetica" w:cs="Helvetica"/>
          <w:color w:val="333333"/>
          <w:lang w:val="en"/>
        </w:rPr>
        <w:t>for the</w:t>
      </w:r>
      <w:r w:rsidR="008B7DB2">
        <w:rPr>
          <w:rFonts w:ascii="Helvetica" w:hAnsi="Helvetica" w:cs="Helvetica"/>
          <w:color w:val="333333"/>
          <w:lang w:val="en"/>
        </w:rPr>
        <w:t xml:space="preserve"> prominence and legibility</w:t>
      </w:r>
      <w:r w:rsidR="00001862">
        <w:rPr>
          <w:rFonts w:ascii="Helvetica" w:hAnsi="Helvetica" w:cs="Helvetica"/>
          <w:color w:val="333333"/>
          <w:lang w:val="en"/>
        </w:rPr>
        <w:t xml:space="preserve"> of the text.</w:t>
      </w:r>
      <w:r w:rsidR="00B51778">
        <w:rPr>
          <w:rFonts w:ascii="Helvetica" w:hAnsi="Helvetica" w:cs="Helvetica"/>
          <w:color w:val="333333"/>
          <w:lang w:val="en"/>
        </w:rPr>
        <w:t xml:space="preserve"> </w:t>
      </w:r>
      <w:r w:rsidR="00001862">
        <w:rPr>
          <w:rFonts w:ascii="Helvetica" w:hAnsi="Helvetica" w:cs="Helvetica"/>
          <w:color w:val="333333"/>
          <w:lang w:val="en"/>
        </w:rPr>
        <w:t>P</w:t>
      </w:r>
      <w:r>
        <w:rPr>
          <w:rFonts w:ascii="Helvetica" w:hAnsi="Helvetica" w:cs="Helvetica"/>
          <w:color w:val="333333"/>
          <w:lang w:val="en"/>
        </w:rPr>
        <w:t>roducts used at professional establishments or samples distributed free of charge</w:t>
      </w:r>
      <w:r w:rsidR="00001862">
        <w:rPr>
          <w:rFonts w:ascii="Helvetica" w:hAnsi="Helvetica" w:cs="Helvetica"/>
          <w:color w:val="333333"/>
          <w:lang w:val="en"/>
        </w:rPr>
        <w:t xml:space="preserve"> are excluded from these requirements</w:t>
      </w:r>
      <w:r>
        <w:rPr>
          <w:rFonts w:ascii="Helvetica" w:hAnsi="Helvetica" w:cs="Helvetica"/>
          <w:color w:val="333333"/>
          <w:lang w:val="en"/>
        </w:rPr>
        <w:t>.</w:t>
      </w:r>
    </w:p>
    <w:p w:rsidR="008E11F6" w:rsidRDefault="008E11F6" w:rsidP="00D820F4">
      <w:pPr>
        <w:pStyle w:val="Heading3"/>
        <w:rPr>
          <w:lang w:val="en"/>
        </w:rPr>
      </w:pPr>
      <w:bookmarkStart w:id="9" w:name="_Toc430695247"/>
      <w:r>
        <w:rPr>
          <w:lang w:val="en"/>
        </w:rPr>
        <w:t>EU</w:t>
      </w:r>
      <w:bookmarkEnd w:id="9"/>
    </w:p>
    <w:p w:rsidR="008801AF" w:rsidRDefault="00A561D2" w:rsidP="00224EBF">
      <w:r>
        <w:t xml:space="preserve">The European Union requires cosmetic products to be labelled </w:t>
      </w:r>
      <w:r w:rsidR="007C19E7">
        <w:t>with list of ingredients</w:t>
      </w:r>
      <w:r w:rsidR="00155128">
        <w:t xml:space="preserve"> in descending order of weight </w:t>
      </w:r>
      <w:r w:rsidR="00AF34EA" w:rsidRPr="00AF34EA">
        <w:t>in indelible, easily legible and visible lettering</w:t>
      </w:r>
      <w:r w:rsidR="0003396F">
        <w:t xml:space="preserve">. </w:t>
      </w:r>
      <w:r w:rsidR="00155128">
        <w:t>If it is</w:t>
      </w:r>
      <w:r w:rsidR="00AF34EA">
        <w:t xml:space="preserve"> impossible for practical reasons to label the </w:t>
      </w:r>
      <w:r w:rsidR="00155128">
        <w:t>product with the ingredients, they must be provided</w:t>
      </w:r>
      <w:r w:rsidR="00AF34EA">
        <w:t xml:space="preserve"> </w:t>
      </w:r>
      <w:r w:rsidR="00155128">
        <w:t xml:space="preserve">in an enclosed </w:t>
      </w:r>
      <w:r w:rsidR="0003396F">
        <w:t xml:space="preserve">or attached </w:t>
      </w:r>
      <w:r w:rsidR="00155128">
        <w:t>leaflet</w:t>
      </w:r>
      <w:r w:rsidR="0003396F">
        <w:t xml:space="preserve">, </w:t>
      </w:r>
      <w:r w:rsidR="00AF34EA">
        <w:t>label, tag, tape or card</w:t>
      </w:r>
      <w:r w:rsidR="00155128">
        <w:t>.</w:t>
      </w:r>
      <w:r w:rsidR="0003396F">
        <w:t xml:space="preserve"> For some products where </w:t>
      </w:r>
      <w:r w:rsidR="00AF34EA">
        <w:t xml:space="preserve">this </w:t>
      </w:r>
      <w:r w:rsidR="0003396F">
        <w:t>is not possible it is acceptable to provide</w:t>
      </w:r>
      <w:r w:rsidR="00AF34EA">
        <w:t xml:space="preserve"> a notice in immediate proximity to the container in which the cosmetic product is exposed for sale.</w:t>
      </w:r>
      <w:r w:rsidR="00B51778">
        <w:t xml:space="preserve"> </w:t>
      </w:r>
      <w:r w:rsidR="0003396F">
        <w:t>Free samples are not excluded from these requirements.</w:t>
      </w:r>
    </w:p>
    <w:p w:rsidR="006950BD" w:rsidRDefault="00A27245" w:rsidP="00A27245">
      <w:pPr>
        <w:pStyle w:val="Numbered1"/>
      </w:pPr>
      <w:bookmarkStart w:id="10" w:name="_Toc430695248"/>
      <w:r>
        <w:t>Survey aim and methodology</w:t>
      </w:r>
      <w:bookmarkEnd w:id="10"/>
    </w:p>
    <w:p w:rsidR="009D75E9" w:rsidRDefault="001C5006" w:rsidP="009D75E9">
      <w:r w:rsidRPr="001C5006">
        <w:t>The ACCC subscribed to the available Australian cosmetic subscription services to assess their compliance with the Mandatory Standard.</w:t>
      </w:r>
      <w:r w:rsidR="009D75E9">
        <w:t xml:space="preserve"> </w:t>
      </w:r>
    </w:p>
    <w:p w:rsidR="001A0F46" w:rsidRPr="00B51778" w:rsidRDefault="001A0F46" w:rsidP="001A0F46">
      <w:r>
        <w:t xml:space="preserve">The businesses offering the service were identified by searching the internet for them directly and through websites that list, </w:t>
      </w:r>
      <w:r w:rsidR="00642BD9">
        <w:t xml:space="preserve">review, </w:t>
      </w:r>
      <w:r>
        <w:t>rate or compare the different brands.</w:t>
      </w:r>
      <w:r w:rsidR="00B51778">
        <w:t xml:space="preserve"> For example see the following website: </w:t>
      </w:r>
      <w:hyperlink r:id="rId11" w:history="1">
        <w:r w:rsidRPr="00FA71E7">
          <w:rPr>
            <w:rStyle w:val="Hyperlink"/>
          </w:rPr>
          <w:t>http://australiansubscriptionboxes.blogspot.com.au/p/currently-available-boxes.html</w:t>
        </w:r>
      </w:hyperlink>
    </w:p>
    <w:p w:rsidR="00B51778" w:rsidRDefault="009D75E9" w:rsidP="006B207C">
      <w:pPr>
        <w:rPr>
          <w:color w:val="0000FF"/>
          <w:u w:val="single"/>
        </w:rPr>
      </w:pPr>
      <w:r>
        <w:rPr>
          <w:rFonts w:cstheme="minorHAnsi"/>
        </w:rPr>
        <w:t xml:space="preserve">Eight subscriptions from five different Australian businesses </w:t>
      </w:r>
      <w:r w:rsidR="00B51778">
        <w:rPr>
          <w:rFonts w:cstheme="minorHAnsi"/>
        </w:rPr>
        <w:t>were chosen for the survey. These businesses represent</w:t>
      </w:r>
      <w:r>
        <w:rPr>
          <w:rFonts w:cstheme="minorHAnsi"/>
        </w:rPr>
        <w:t xml:space="preserve"> most of the market for </w:t>
      </w:r>
      <w:r w:rsidR="00B51778">
        <w:rPr>
          <w:rFonts w:cstheme="minorHAnsi"/>
        </w:rPr>
        <w:t>cosmetic subscription</w:t>
      </w:r>
      <w:r>
        <w:rPr>
          <w:rFonts w:cstheme="minorHAnsi"/>
        </w:rPr>
        <w:t xml:space="preserve"> services </w:t>
      </w:r>
      <w:r w:rsidR="00B51778">
        <w:rPr>
          <w:rFonts w:cstheme="minorHAnsi"/>
        </w:rPr>
        <w:t>in Australia</w:t>
      </w:r>
      <w:r>
        <w:rPr>
          <w:rFonts w:cstheme="minorHAnsi"/>
        </w:rPr>
        <w:t>.</w:t>
      </w:r>
      <w:r>
        <w:t xml:space="preserve"> </w:t>
      </w:r>
    </w:p>
    <w:p w:rsidR="006B207C" w:rsidRPr="00B51778" w:rsidRDefault="006B207C" w:rsidP="006B207C">
      <w:pPr>
        <w:rPr>
          <w:color w:val="0000FF"/>
          <w:u w:val="single"/>
        </w:rPr>
      </w:pPr>
      <w:r>
        <w:t>Subscriptions were delivered monthly or quarterly</w:t>
      </w:r>
      <w:r w:rsidR="00A62E54">
        <w:t>, and several deliveries from each brand were received. This allowed time to o</w:t>
      </w:r>
      <w:r w:rsidR="00960969">
        <w:t xml:space="preserve">bserve </w:t>
      </w:r>
      <w:r w:rsidR="001D047B">
        <w:t xml:space="preserve">non-compliance, </w:t>
      </w:r>
      <w:r>
        <w:t xml:space="preserve">contact </w:t>
      </w:r>
      <w:r w:rsidR="00A62E54">
        <w:t>each business</w:t>
      </w:r>
      <w:r w:rsidR="00AA0043">
        <w:t xml:space="preserve">, </w:t>
      </w:r>
      <w:r w:rsidR="005938BD">
        <w:t>establish</w:t>
      </w:r>
      <w:r w:rsidR="001D047B">
        <w:t xml:space="preserve"> </w:t>
      </w:r>
      <w:r w:rsidR="00E05D64">
        <w:t>compliance and observe corrective actions.</w:t>
      </w:r>
    </w:p>
    <w:p w:rsidR="00A27245" w:rsidRDefault="00A27245" w:rsidP="00A27245">
      <w:pPr>
        <w:pStyle w:val="Numbered1"/>
      </w:pPr>
      <w:bookmarkStart w:id="11" w:name="_Toc430695249"/>
      <w:r>
        <w:t>Results</w:t>
      </w:r>
      <w:bookmarkEnd w:id="11"/>
    </w:p>
    <w:p w:rsidR="00953AC4" w:rsidRDefault="00A62E54" w:rsidP="00A67AD2">
      <w:r>
        <w:t>In the first month of the survey</w:t>
      </w:r>
      <w:r w:rsidR="00F948B6">
        <w:t>,</w:t>
      </w:r>
      <w:r>
        <w:t xml:space="preserve"> </w:t>
      </w:r>
      <w:r w:rsidR="00F948B6">
        <w:t>each subscription service supplied cosmetic</w:t>
      </w:r>
      <w:r>
        <w:t xml:space="preserve">s without ingredient lists </w:t>
      </w:r>
      <w:r w:rsidR="00A1496D">
        <w:t xml:space="preserve">or with </w:t>
      </w:r>
      <w:r w:rsidR="00384FB8">
        <w:t>ingredient lists that were not</w:t>
      </w:r>
      <w:r w:rsidR="00A1496D">
        <w:t xml:space="preserve"> prominent or legible</w:t>
      </w:r>
      <w:r>
        <w:t xml:space="preserve">. </w:t>
      </w:r>
    </w:p>
    <w:p w:rsidR="00A1496D" w:rsidRDefault="006D2275" w:rsidP="00A67AD2">
      <w:r>
        <w:lastRenderedPageBreak/>
        <w:t>Throughout the</w:t>
      </w:r>
      <w:r w:rsidR="004A4B4B">
        <w:t xml:space="preserve"> survey 197</w:t>
      </w:r>
      <w:r w:rsidR="00A1496D">
        <w:t xml:space="preserve"> individual products</w:t>
      </w:r>
      <w:r w:rsidR="00026EC5">
        <w:t xml:space="preserve"> from over 100 different brands and manufacturers</w:t>
      </w:r>
      <w:r w:rsidR="00A1496D">
        <w:t xml:space="preserve"> were </w:t>
      </w:r>
      <w:r>
        <w:t xml:space="preserve">supplied </w:t>
      </w:r>
      <w:r w:rsidR="002B126C">
        <w:t>in</w:t>
      </w:r>
      <w:r w:rsidR="00FE1ED4">
        <w:t xml:space="preserve"> </w:t>
      </w:r>
      <w:r w:rsidR="004A4B4B">
        <w:t>27</w:t>
      </w:r>
      <w:r>
        <w:t xml:space="preserve"> deliveries.</w:t>
      </w:r>
      <w:r w:rsidR="000709BA">
        <w:t xml:space="preserve"> 38</w:t>
      </w:r>
      <w:r w:rsidR="00A1496D">
        <w:t xml:space="preserve"> </w:t>
      </w:r>
      <w:r w:rsidR="004A4B4B">
        <w:t xml:space="preserve">cosmetic </w:t>
      </w:r>
      <w:r>
        <w:t>products</w:t>
      </w:r>
      <w:r w:rsidR="004A4B4B">
        <w:t xml:space="preserve"> </w:t>
      </w:r>
      <w:r w:rsidR="00D9084E">
        <w:t xml:space="preserve">were </w:t>
      </w:r>
      <w:r w:rsidR="004A4B4B">
        <w:t>supplied</w:t>
      </w:r>
      <w:r w:rsidR="00A1496D">
        <w:t xml:space="preserve"> </w:t>
      </w:r>
      <w:r w:rsidR="004A4B4B">
        <w:t xml:space="preserve">with </w:t>
      </w:r>
      <w:r w:rsidR="0054294A">
        <w:t>no ingredient list at all</w:t>
      </w:r>
      <w:r w:rsidR="00A1496D">
        <w:t xml:space="preserve"> </w:t>
      </w:r>
      <w:r w:rsidR="0054294A">
        <w:t>(</w:t>
      </w:r>
      <w:r w:rsidR="000709BA">
        <w:t>19</w:t>
      </w:r>
      <w:r>
        <w:t>%</w:t>
      </w:r>
      <w:r w:rsidR="0054294A">
        <w:t>)</w:t>
      </w:r>
      <w:r w:rsidR="00026EC5">
        <w:t xml:space="preserve">, and </w:t>
      </w:r>
      <w:r w:rsidR="000709BA">
        <w:t>6</w:t>
      </w:r>
      <w:r>
        <w:t xml:space="preserve"> </w:t>
      </w:r>
      <w:r w:rsidR="004A4B4B">
        <w:t xml:space="preserve">cosmetic </w:t>
      </w:r>
      <w:r>
        <w:t xml:space="preserve">products </w:t>
      </w:r>
      <w:r w:rsidR="00D9084E">
        <w:t>were supplied</w:t>
      </w:r>
      <w:r w:rsidR="004A4B4B">
        <w:t xml:space="preserve"> with</w:t>
      </w:r>
      <w:r>
        <w:t xml:space="preserve"> ingredient lists that were not </w:t>
      </w:r>
      <w:r w:rsidR="0054294A">
        <w:t>prominent or legible</w:t>
      </w:r>
      <w:r w:rsidR="000774D5">
        <w:t xml:space="preserve"> </w:t>
      </w:r>
      <w:r w:rsidR="0054294A">
        <w:t>(</w:t>
      </w:r>
      <w:r w:rsidR="000709BA">
        <w:t>3</w:t>
      </w:r>
      <w:r>
        <w:t>%</w:t>
      </w:r>
      <w:r w:rsidR="0054294A">
        <w:t>)</w:t>
      </w:r>
      <w:r w:rsidR="007072B7">
        <w:t>.</w:t>
      </w:r>
      <w:r w:rsidR="000228F4">
        <w:t xml:space="preserve"> The rates of non-compliant products for each </w:t>
      </w:r>
      <w:r w:rsidR="00F948B6">
        <w:t>subscription service</w:t>
      </w:r>
      <w:r w:rsidR="000228F4">
        <w:t xml:space="preserve"> are presented in Table 1 below.</w:t>
      </w:r>
    </w:p>
    <w:p w:rsidR="0047345E" w:rsidRPr="00BD73E3" w:rsidRDefault="0047345E" w:rsidP="0047345E">
      <w:pPr>
        <w:spacing w:after="240"/>
        <w:rPr>
          <w:b/>
          <w:sz w:val="24"/>
          <w:szCs w:val="24"/>
        </w:rPr>
      </w:pPr>
      <w:r w:rsidRPr="00BD73E3">
        <w:rPr>
          <w:b/>
          <w:sz w:val="24"/>
          <w:szCs w:val="24"/>
        </w:rPr>
        <w:t>Table 1</w:t>
      </w:r>
      <w:r w:rsidRPr="00BD73E3">
        <w:rPr>
          <w:b/>
          <w:sz w:val="24"/>
          <w:szCs w:val="24"/>
        </w:rPr>
        <w:tab/>
      </w:r>
      <w:r w:rsidRPr="00BD73E3">
        <w:rPr>
          <w:sz w:val="24"/>
          <w:szCs w:val="24"/>
        </w:rPr>
        <w:t xml:space="preserve">Number of non-compliant </w:t>
      </w:r>
      <w:r w:rsidR="00384FB8">
        <w:rPr>
          <w:sz w:val="24"/>
          <w:szCs w:val="24"/>
        </w:rPr>
        <w:t>cosmetics</w:t>
      </w:r>
      <w:r w:rsidRPr="00BD73E3">
        <w:rPr>
          <w:sz w:val="24"/>
          <w:szCs w:val="24"/>
        </w:rPr>
        <w:t xml:space="preserve"> </w:t>
      </w:r>
      <w:r w:rsidR="00384FB8">
        <w:rPr>
          <w:sz w:val="24"/>
          <w:szCs w:val="24"/>
        </w:rPr>
        <w:t xml:space="preserve">out of the total number of products </w:t>
      </w:r>
      <w:r w:rsidRPr="00BD73E3">
        <w:rPr>
          <w:sz w:val="24"/>
          <w:szCs w:val="24"/>
        </w:rPr>
        <w:t xml:space="preserve">supplied </w:t>
      </w:r>
      <w:r w:rsidR="00F57A91">
        <w:rPr>
          <w:sz w:val="24"/>
          <w:szCs w:val="24"/>
        </w:rPr>
        <w:t xml:space="preserve">in </w:t>
      </w:r>
      <w:r w:rsidRPr="00BD73E3">
        <w:rPr>
          <w:sz w:val="24"/>
          <w:szCs w:val="24"/>
        </w:rPr>
        <w:t xml:space="preserve">each </w:t>
      </w:r>
      <w:r w:rsidR="00F57A91">
        <w:rPr>
          <w:sz w:val="24"/>
          <w:szCs w:val="24"/>
        </w:rPr>
        <w:t>delivery</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1"/>
        <w:gridCol w:w="838"/>
        <w:gridCol w:w="850"/>
        <w:gridCol w:w="851"/>
        <w:gridCol w:w="992"/>
        <w:gridCol w:w="992"/>
        <w:gridCol w:w="1418"/>
      </w:tblGrid>
      <w:tr w:rsidR="0059472C" w:rsidRPr="0079205E" w:rsidTr="00026E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0098C3" w:themeFill="accent3"/>
          </w:tcPr>
          <w:p w:rsidR="00B246ED" w:rsidRPr="0079205E" w:rsidRDefault="00B246ED" w:rsidP="00CC05EC">
            <w:pPr>
              <w:rPr>
                <w:rFonts w:cs="Calibri"/>
              </w:rPr>
            </w:pPr>
            <w:r w:rsidRPr="0079205E">
              <w:rPr>
                <w:rFonts w:cs="Calibri"/>
              </w:rPr>
              <w:t>Brand</w:t>
            </w:r>
          </w:p>
        </w:tc>
        <w:tc>
          <w:tcPr>
            <w:tcW w:w="838" w:type="dxa"/>
            <w:shd w:val="clear" w:color="auto" w:fill="0098C3" w:themeFill="accent3"/>
          </w:tcPr>
          <w:p w:rsidR="00B246ED" w:rsidRPr="0079205E" w:rsidRDefault="00B246ED" w:rsidP="00CC05EC">
            <w:pPr>
              <w:cnfStyle w:val="100000000000" w:firstRow="1" w:lastRow="0" w:firstColumn="0" w:lastColumn="0" w:oddVBand="0" w:evenVBand="0" w:oddHBand="0" w:evenHBand="0" w:firstRowFirstColumn="0" w:firstRowLastColumn="0" w:lastRowFirstColumn="0" w:lastRowLastColumn="0"/>
              <w:rPr>
                <w:rFonts w:cs="Calibri"/>
              </w:rPr>
            </w:pPr>
            <w:r w:rsidRPr="0079205E">
              <w:rPr>
                <w:rFonts w:cs="Calibri"/>
              </w:rPr>
              <w:t>April</w:t>
            </w:r>
          </w:p>
        </w:tc>
        <w:tc>
          <w:tcPr>
            <w:tcW w:w="850" w:type="dxa"/>
            <w:shd w:val="clear" w:color="auto" w:fill="0098C3" w:themeFill="accent3"/>
          </w:tcPr>
          <w:p w:rsidR="00B246ED" w:rsidRPr="0079205E" w:rsidRDefault="00B246ED" w:rsidP="00CC05EC">
            <w:pPr>
              <w:cnfStyle w:val="100000000000" w:firstRow="1" w:lastRow="0" w:firstColumn="0" w:lastColumn="0" w:oddVBand="0" w:evenVBand="0" w:oddHBand="0" w:evenHBand="0" w:firstRowFirstColumn="0" w:firstRowLastColumn="0" w:lastRowFirstColumn="0" w:lastRowLastColumn="0"/>
              <w:rPr>
                <w:rFonts w:cs="Calibri"/>
              </w:rPr>
            </w:pPr>
            <w:r w:rsidRPr="0079205E">
              <w:rPr>
                <w:rFonts w:cs="Calibri"/>
              </w:rPr>
              <w:t>May</w:t>
            </w:r>
          </w:p>
        </w:tc>
        <w:tc>
          <w:tcPr>
            <w:tcW w:w="851" w:type="dxa"/>
            <w:shd w:val="clear" w:color="auto" w:fill="0098C3" w:themeFill="accent3"/>
          </w:tcPr>
          <w:p w:rsidR="00B246ED" w:rsidRPr="0079205E" w:rsidRDefault="00B246ED" w:rsidP="00CC05EC">
            <w:pPr>
              <w:cnfStyle w:val="100000000000" w:firstRow="1" w:lastRow="0" w:firstColumn="0" w:lastColumn="0" w:oddVBand="0" w:evenVBand="0" w:oddHBand="0" w:evenHBand="0" w:firstRowFirstColumn="0" w:firstRowLastColumn="0" w:lastRowFirstColumn="0" w:lastRowLastColumn="0"/>
              <w:rPr>
                <w:rFonts w:cs="Calibri"/>
              </w:rPr>
            </w:pPr>
            <w:r w:rsidRPr="0079205E">
              <w:rPr>
                <w:rFonts w:cs="Calibri"/>
              </w:rPr>
              <w:t>June</w:t>
            </w:r>
          </w:p>
        </w:tc>
        <w:tc>
          <w:tcPr>
            <w:tcW w:w="992" w:type="dxa"/>
            <w:shd w:val="clear" w:color="auto" w:fill="0098C3" w:themeFill="accent3"/>
          </w:tcPr>
          <w:p w:rsidR="00B246ED" w:rsidRPr="0079205E" w:rsidRDefault="00B246ED" w:rsidP="00CC05EC">
            <w:pPr>
              <w:cnfStyle w:val="100000000000" w:firstRow="1" w:lastRow="0" w:firstColumn="0" w:lastColumn="0" w:oddVBand="0" w:evenVBand="0" w:oddHBand="0" w:evenHBand="0" w:firstRowFirstColumn="0" w:firstRowLastColumn="0" w:lastRowFirstColumn="0" w:lastRowLastColumn="0"/>
              <w:rPr>
                <w:rFonts w:cs="Calibri"/>
              </w:rPr>
            </w:pPr>
            <w:r w:rsidRPr="0079205E">
              <w:rPr>
                <w:rFonts w:cs="Calibri"/>
              </w:rPr>
              <w:t>July</w:t>
            </w:r>
          </w:p>
        </w:tc>
        <w:tc>
          <w:tcPr>
            <w:tcW w:w="992" w:type="dxa"/>
            <w:shd w:val="clear" w:color="auto" w:fill="0098C3" w:themeFill="accent3"/>
          </w:tcPr>
          <w:p w:rsidR="00B246ED" w:rsidRPr="0079205E" w:rsidRDefault="00B246ED" w:rsidP="00CC05EC">
            <w:pPr>
              <w:cnfStyle w:val="100000000000" w:firstRow="1" w:lastRow="0" w:firstColumn="0" w:lastColumn="0" w:oddVBand="0" w:evenVBand="0" w:oddHBand="0" w:evenHBand="0" w:firstRowFirstColumn="0" w:firstRowLastColumn="0" w:lastRowFirstColumn="0" w:lastRowLastColumn="0"/>
              <w:rPr>
                <w:rFonts w:cs="Calibri"/>
              </w:rPr>
            </w:pPr>
            <w:r w:rsidRPr="0079205E">
              <w:rPr>
                <w:rFonts w:cs="Calibri"/>
              </w:rPr>
              <w:t>August</w:t>
            </w:r>
          </w:p>
        </w:tc>
        <w:tc>
          <w:tcPr>
            <w:tcW w:w="1418" w:type="dxa"/>
            <w:shd w:val="clear" w:color="auto" w:fill="0098C3" w:themeFill="accent3"/>
          </w:tcPr>
          <w:p w:rsidR="00B246ED" w:rsidRPr="0079205E" w:rsidRDefault="00B246ED" w:rsidP="00CC05EC">
            <w:pPr>
              <w:cnfStyle w:val="100000000000" w:firstRow="1" w:lastRow="0" w:firstColumn="0" w:lastColumn="0" w:oddVBand="0" w:evenVBand="0" w:oddHBand="0" w:evenHBand="0" w:firstRowFirstColumn="0" w:firstRowLastColumn="0" w:lastRowFirstColumn="0" w:lastRowLastColumn="0"/>
              <w:rPr>
                <w:rFonts w:cs="Calibri"/>
              </w:rPr>
            </w:pPr>
            <w:r>
              <w:rPr>
                <w:rFonts w:cs="Calibri"/>
              </w:rPr>
              <w:t>September</w:t>
            </w:r>
          </w:p>
        </w:tc>
      </w:tr>
      <w:tr w:rsidR="0059472C" w:rsidRPr="00957CC7" w:rsidTr="00026E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B246ED" w:rsidRPr="0079205E" w:rsidRDefault="00B246ED" w:rsidP="00CC05EC">
            <w:pPr>
              <w:rPr>
                <w:rFonts w:cs="Calibri"/>
              </w:rPr>
            </w:pPr>
            <w:r w:rsidRPr="0079205E">
              <w:rPr>
                <w:rFonts w:cs="Calibri"/>
              </w:rPr>
              <w:t>Bellabox</w:t>
            </w:r>
          </w:p>
        </w:tc>
        <w:tc>
          <w:tcPr>
            <w:tcW w:w="838" w:type="dxa"/>
            <w:tcBorders>
              <w:top w:val="none" w:sz="0" w:space="0" w:color="auto"/>
              <w:bottom w:val="none" w:sz="0" w:space="0" w:color="auto"/>
            </w:tcBorders>
          </w:tcPr>
          <w:p w:rsidR="00B246ED" w:rsidRPr="00957CC7" w:rsidRDefault="00B246ED" w:rsidP="00CC05EC">
            <w:pPr>
              <w:cnfStyle w:val="000000100000" w:firstRow="0" w:lastRow="0" w:firstColumn="0" w:lastColumn="0" w:oddVBand="0" w:evenVBand="0" w:oddHBand="1" w:evenHBand="0" w:firstRowFirstColumn="0" w:firstRowLastColumn="0" w:lastRowFirstColumn="0" w:lastRowLastColumn="0"/>
              <w:rPr>
                <w:rFonts w:cs="Calibri"/>
              </w:rPr>
            </w:pPr>
            <w:r>
              <w:rPr>
                <w:rFonts w:cs="Calibri"/>
              </w:rPr>
              <w:t>2/6</w:t>
            </w:r>
          </w:p>
        </w:tc>
        <w:tc>
          <w:tcPr>
            <w:tcW w:w="850" w:type="dxa"/>
            <w:tcBorders>
              <w:top w:val="none" w:sz="0" w:space="0" w:color="auto"/>
              <w:bottom w:val="none" w:sz="0" w:space="0" w:color="auto"/>
            </w:tcBorders>
          </w:tcPr>
          <w:p w:rsidR="00B246ED" w:rsidRPr="00957CC7" w:rsidRDefault="00B246ED" w:rsidP="00CC05EC">
            <w:pPr>
              <w:cnfStyle w:val="000000100000" w:firstRow="0" w:lastRow="0" w:firstColumn="0" w:lastColumn="0" w:oddVBand="0" w:evenVBand="0" w:oddHBand="1" w:evenHBand="0" w:firstRowFirstColumn="0" w:firstRowLastColumn="0" w:lastRowFirstColumn="0" w:lastRowLastColumn="0"/>
              <w:rPr>
                <w:rFonts w:cs="Calibri"/>
              </w:rPr>
            </w:pPr>
            <w:r>
              <w:rPr>
                <w:rFonts w:cs="Calibri"/>
              </w:rPr>
              <w:t>5/6</w:t>
            </w:r>
          </w:p>
        </w:tc>
        <w:tc>
          <w:tcPr>
            <w:tcW w:w="851" w:type="dxa"/>
            <w:tcBorders>
              <w:top w:val="none" w:sz="0" w:space="0" w:color="auto"/>
              <w:bottom w:val="none" w:sz="0" w:space="0" w:color="auto"/>
            </w:tcBorders>
          </w:tcPr>
          <w:p w:rsidR="00B246ED" w:rsidRPr="00957CC7" w:rsidRDefault="00B246ED" w:rsidP="00CC05EC">
            <w:pPr>
              <w:cnfStyle w:val="000000100000" w:firstRow="0" w:lastRow="0" w:firstColumn="0" w:lastColumn="0" w:oddVBand="0" w:evenVBand="0" w:oddHBand="1" w:evenHBand="0" w:firstRowFirstColumn="0" w:firstRowLastColumn="0" w:lastRowFirstColumn="0" w:lastRowLastColumn="0"/>
              <w:rPr>
                <w:rFonts w:cs="Calibri"/>
              </w:rPr>
            </w:pPr>
            <w:r>
              <w:rPr>
                <w:rFonts w:cs="Calibri"/>
              </w:rPr>
              <w:t>1/6</w:t>
            </w:r>
          </w:p>
        </w:tc>
        <w:tc>
          <w:tcPr>
            <w:tcW w:w="992" w:type="dxa"/>
            <w:tcBorders>
              <w:top w:val="none" w:sz="0" w:space="0" w:color="auto"/>
              <w:bottom w:val="none" w:sz="0" w:space="0" w:color="auto"/>
            </w:tcBorders>
          </w:tcPr>
          <w:p w:rsidR="00B246ED" w:rsidRPr="00957CC7" w:rsidRDefault="00B246ED" w:rsidP="00CC05EC">
            <w:pPr>
              <w:cnfStyle w:val="000000100000" w:firstRow="0" w:lastRow="0" w:firstColumn="0" w:lastColumn="0" w:oddVBand="0" w:evenVBand="0" w:oddHBand="1" w:evenHBand="0" w:firstRowFirstColumn="0" w:firstRowLastColumn="0" w:lastRowFirstColumn="0" w:lastRowLastColumn="0"/>
              <w:rPr>
                <w:rFonts w:cs="Calibri"/>
              </w:rPr>
            </w:pPr>
            <w:r>
              <w:rPr>
                <w:rFonts w:cs="Calibri"/>
              </w:rPr>
              <w:t>0/6</w:t>
            </w:r>
          </w:p>
        </w:tc>
        <w:tc>
          <w:tcPr>
            <w:tcW w:w="992" w:type="dxa"/>
            <w:tcBorders>
              <w:top w:val="none" w:sz="0" w:space="0" w:color="auto"/>
              <w:bottom w:val="none" w:sz="0" w:space="0" w:color="auto"/>
            </w:tcBorders>
          </w:tcPr>
          <w:p w:rsidR="00B246ED" w:rsidRPr="00957CC7" w:rsidRDefault="00B246ED" w:rsidP="00CC05EC">
            <w:pPr>
              <w:cnfStyle w:val="000000100000" w:firstRow="0" w:lastRow="0" w:firstColumn="0" w:lastColumn="0" w:oddVBand="0" w:evenVBand="0" w:oddHBand="1" w:evenHBand="0" w:firstRowFirstColumn="0" w:firstRowLastColumn="0" w:lastRowFirstColumn="0" w:lastRowLastColumn="0"/>
              <w:rPr>
                <w:rFonts w:cs="Calibri"/>
              </w:rPr>
            </w:pPr>
            <w:r>
              <w:rPr>
                <w:rFonts w:cs="Calibri"/>
              </w:rPr>
              <w:t>0/6</w:t>
            </w:r>
          </w:p>
        </w:tc>
        <w:tc>
          <w:tcPr>
            <w:tcW w:w="1418" w:type="dxa"/>
            <w:tcBorders>
              <w:top w:val="none" w:sz="0" w:space="0" w:color="auto"/>
              <w:bottom w:val="none" w:sz="0" w:space="0" w:color="auto"/>
              <w:right w:val="none" w:sz="0" w:space="0" w:color="auto"/>
            </w:tcBorders>
          </w:tcPr>
          <w:p w:rsidR="00B246ED" w:rsidRDefault="00B246ED" w:rsidP="00CC05EC">
            <w:pPr>
              <w:cnfStyle w:val="000000100000" w:firstRow="0" w:lastRow="0" w:firstColumn="0" w:lastColumn="0" w:oddVBand="0" w:evenVBand="0" w:oddHBand="1" w:evenHBand="0" w:firstRowFirstColumn="0" w:firstRowLastColumn="0" w:lastRowFirstColumn="0" w:lastRowLastColumn="0"/>
              <w:rPr>
                <w:rFonts w:cs="Calibri"/>
              </w:rPr>
            </w:pPr>
          </w:p>
        </w:tc>
      </w:tr>
      <w:tr w:rsidR="0059472C" w:rsidRPr="00957CC7" w:rsidTr="00026E19">
        <w:tc>
          <w:tcPr>
            <w:cnfStyle w:val="001000000000" w:firstRow="0" w:lastRow="0" w:firstColumn="1" w:lastColumn="0" w:oddVBand="0" w:evenVBand="0" w:oddHBand="0" w:evenHBand="0" w:firstRowFirstColumn="0" w:firstRowLastColumn="0" w:lastRowFirstColumn="0" w:lastRowLastColumn="0"/>
            <w:tcW w:w="0" w:type="auto"/>
          </w:tcPr>
          <w:p w:rsidR="00B246ED" w:rsidRPr="0079205E" w:rsidRDefault="00B246ED" w:rsidP="00CC05EC">
            <w:pPr>
              <w:rPr>
                <w:rFonts w:cs="Calibri"/>
              </w:rPr>
            </w:pPr>
            <w:r w:rsidRPr="0079205E">
              <w:rPr>
                <w:rFonts w:cs="Calibri"/>
              </w:rPr>
              <w:t>Bellabox - Baby</w:t>
            </w:r>
          </w:p>
        </w:tc>
        <w:tc>
          <w:tcPr>
            <w:tcW w:w="838" w:type="dxa"/>
          </w:tcPr>
          <w:p w:rsidR="00B246ED" w:rsidRPr="00957CC7" w:rsidRDefault="00B246ED" w:rsidP="00CC05EC">
            <w:pPr>
              <w:cnfStyle w:val="000000000000" w:firstRow="0" w:lastRow="0" w:firstColumn="0" w:lastColumn="0" w:oddVBand="0" w:evenVBand="0" w:oddHBand="0" w:evenHBand="0" w:firstRowFirstColumn="0" w:firstRowLastColumn="0" w:lastRowFirstColumn="0" w:lastRowLastColumn="0"/>
              <w:rPr>
                <w:rFonts w:cs="Calibri"/>
              </w:rPr>
            </w:pPr>
            <w:r>
              <w:rPr>
                <w:rFonts w:cs="Calibri"/>
              </w:rPr>
              <w:t>2/12</w:t>
            </w:r>
          </w:p>
        </w:tc>
        <w:tc>
          <w:tcPr>
            <w:tcW w:w="850" w:type="dxa"/>
          </w:tcPr>
          <w:p w:rsidR="00B246ED" w:rsidRPr="00957CC7" w:rsidRDefault="00B246ED" w:rsidP="00CC05EC">
            <w:pPr>
              <w:cnfStyle w:val="000000000000" w:firstRow="0" w:lastRow="0" w:firstColumn="0" w:lastColumn="0" w:oddVBand="0" w:evenVBand="0" w:oddHBand="0" w:evenHBand="0" w:firstRowFirstColumn="0" w:firstRowLastColumn="0" w:lastRowFirstColumn="0" w:lastRowLastColumn="0"/>
              <w:rPr>
                <w:rFonts w:cs="Calibri"/>
              </w:rPr>
            </w:pPr>
            <w:r>
              <w:rPr>
                <w:rFonts w:cs="Calibri"/>
              </w:rPr>
              <w:t>4/9</w:t>
            </w:r>
          </w:p>
        </w:tc>
        <w:tc>
          <w:tcPr>
            <w:tcW w:w="851" w:type="dxa"/>
          </w:tcPr>
          <w:p w:rsidR="00B246ED" w:rsidRPr="00957CC7" w:rsidRDefault="00B246ED" w:rsidP="00CC05EC">
            <w:pPr>
              <w:cnfStyle w:val="000000000000" w:firstRow="0" w:lastRow="0" w:firstColumn="0" w:lastColumn="0" w:oddVBand="0" w:evenVBand="0" w:oddHBand="0" w:evenHBand="0" w:firstRowFirstColumn="0" w:firstRowLastColumn="0" w:lastRowFirstColumn="0" w:lastRowLastColumn="0"/>
              <w:rPr>
                <w:rFonts w:cs="Calibri"/>
              </w:rPr>
            </w:pPr>
            <w:r>
              <w:rPr>
                <w:rFonts w:cs="Calibri"/>
              </w:rPr>
              <w:t>2/11</w:t>
            </w:r>
          </w:p>
        </w:tc>
        <w:tc>
          <w:tcPr>
            <w:tcW w:w="992" w:type="dxa"/>
          </w:tcPr>
          <w:p w:rsidR="00B246ED" w:rsidRPr="00957CC7" w:rsidRDefault="00B246ED" w:rsidP="00CC05EC">
            <w:pPr>
              <w:cnfStyle w:val="000000000000" w:firstRow="0" w:lastRow="0" w:firstColumn="0" w:lastColumn="0" w:oddVBand="0" w:evenVBand="0" w:oddHBand="0" w:evenHBand="0" w:firstRowFirstColumn="0" w:firstRowLastColumn="0" w:lastRowFirstColumn="0" w:lastRowLastColumn="0"/>
              <w:rPr>
                <w:rFonts w:cs="Calibri"/>
              </w:rPr>
            </w:pPr>
            <w:r>
              <w:rPr>
                <w:rFonts w:cs="Calibri"/>
              </w:rPr>
              <w:t>0/10</w:t>
            </w:r>
          </w:p>
        </w:tc>
        <w:tc>
          <w:tcPr>
            <w:tcW w:w="992" w:type="dxa"/>
          </w:tcPr>
          <w:p w:rsidR="00B246ED" w:rsidRPr="00957CC7" w:rsidRDefault="00B246ED" w:rsidP="00CC05EC">
            <w:pPr>
              <w:cnfStyle w:val="000000000000" w:firstRow="0" w:lastRow="0" w:firstColumn="0" w:lastColumn="0" w:oddVBand="0" w:evenVBand="0" w:oddHBand="0" w:evenHBand="0" w:firstRowFirstColumn="0" w:firstRowLastColumn="0" w:lastRowFirstColumn="0" w:lastRowLastColumn="0"/>
              <w:rPr>
                <w:rFonts w:cs="Calibri"/>
              </w:rPr>
            </w:pPr>
          </w:p>
        </w:tc>
        <w:tc>
          <w:tcPr>
            <w:tcW w:w="1418" w:type="dxa"/>
          </w:tcPr>
          <w:p w:rsidR="00B246ED" w:rsidRPr="00957CC7" w:rsidRDefault="00B246ED" w:rsidP="00CC05EC">
            <w:pPr>
              <w:cnfStyle w:val="000000000000" w:firstRow="0" w:lastRow="0" w:firstColumn="0" w:lastColumn="0" w:oddVBand="0" w:evenVBand="0" w:oddHBand="0" w:evenHBand="0" w:firstRowFirstColumn="0" w:firstRowLastColumn="0" w:lastRowFirstColumn="0" w:lastRowLastColumn="0"/>
              <w:rPr>
                <w:rFonts w:cs="Calibri"/>
              </w:rPr>
            </w:pPr>
          </w:p>
        </w:tc>
      </w:tr>
      <w:tr w:rsidR="0059472C" w:rsidRPr="00957CC7" w:rsidTr="00026E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B246ED" w:rsidRPr="0079205E" w:rsidRDefault="00B246ED" w:rsidP="00CC05EC">
            <w:pPr>
              <w:rPr>
                <w:rFonts w:cs="Calibri"/>
              </w:rPr>
            </w:pPr>
            <w:r w:rsidRPr="0079205E">
              <w:rPr>
                <w:rFonts w:cs="Calibri"/>
              </w:rPr>
              <w:t>The Parcel by Girlfriend</w:t>
            </w:r>
            <w:r w:rsidR="00384FB8">
              <w:rPr>
                <w:rFonts w:cs="Calibri"/>
              </w:rPr>
              <w:t>*</w:t>
            </w:r>
          </w:p>
        </w:tc>
        <w:tc>
          <w:tcPr>
            <w:tcW w:w="838" w:type="dxa"/>
            <w:tcBorders>
              <w:top w:val="none" w:sz="0" w:space="0" w:color="auto"/>
              <w:bottom w:val="none" w:sz="0" w:space="0" w:color="auto"/>
            </w:tcBorders>
          </w:tcPr>
          <w:p w:rsidR="00B246ED" w:rsidRPr="00957CC7" w:rsidRDefault="00B246ED" w:rsidP="00CC05EC">
            <w:pPr>
              <w:cnfStyle w:val="000000100000" w:firstRow="0" w:lastRow="0" w:firstColumn="0" w:lastColumn="0" w:oddVBand="0" w:evenVBand="0" w:oddHBand="1" w:evenHBand="0" w:firstRowFirstColumn="0" w:firstRowLastColumn="0" w:lastRowFirstColumn="0" w:lastRowLastColumn="0"/>
              <w:rPr>
                <w:rFonts w:cs="Calibri"/>
              </w:rPr>
            </w:pPr>
            <w:r>
              <w:rPr>
                <w:rFonts w:cs="Calibri"/>
              </w:rPr>
              <w:t>3/8</w:t>
            </w:r>
          </w:p>
        </w:tc>
        <w:tc>
          <w:tcPr>
            <w:tcW w:w="850" w:type="dxa"/>
            <w:tcBorders>
              <w:top w:val="none" w:sz="0" w:space="0" w:color="auto"/>
              <w:bottom w:val="none" w:sz="0" w:space="0" w:color="auto"/>
            </w:tcBorders>
          </w:tcPr>
          <w:p w:rsidR="00B246ED" w:rsidRPr="00957CC7" w:rsidRDefault="00B246ED" w:rsidP="00CC05EC">
            <w:pPr>
              <w:cnfStyle w:val="000000100000" w:firstRow="0" w:lastRow="0" w:firstColumn="0" w:lastColumn="0" w:oddVBand="0" w:evenVBand="0" w:oddHBand="1" w:evenHBand="0" w:firstRowFirstColumn="0" w:firstRowLastColumn="0" w:lastRowFirstColumn="0" w:lastRowLastColumn="0"/>
              <w:rPr>
                <w:rFonts w:cs="Calibri"/>
              </w:rPr>
            </w:pPr>
          </w:p>
        </w:tc>
        <w:tc>
          <w:tcPr>
            <w:tcW w:w="851" w:type="dxa"/>
            <w:tcBorders>
              <w:top w:val="none" w:sz="0" w:space="0" w:color="auto"/>
              <w:bottom w:val="none" w:sz="0" w:space="0" w:color="auto"/>
            </w:tcBorders>
          </w:tcPr>
          <w:p w:rsidR="00B246ED" w:rsidRPr="00957CC7" w:rsidRDefault="00B246ED" w:rsidP="00CC05EC">
            <w:pPr>
              <w:cnfStyle w:val="000000100000" w:firstRow="0" w:lastRow="0" w:firstColumn="0" w:lastColumn="0" w:oddVBand="0" w:evenVBand="0" w:oddHBand="1" w:evenHBand="0" w:firstRowFirstColumn="0" w:firstRowLastColumn="0" w:lastRowFirstColumn="0" w:lastRowLastColumn="0"/>
              <w:rPr>
                <w:rFonts w:cs="Calibri"/>
              </w:rPr>
            </w:pPr>
          </w:p>
        </w:tc>
        <w:tc>
          <w:tcPr>
            <w:tcW w:w="992" w:type="dxa"/>
            <w:tcBorders>
              <w:top w:val="none" w:sz="0" w:space="0" w:color="auto"/>
              <w:bottom w:val="none" w:sz="0" w:space="0" w:color="auto"/>
            </w:tcBorders>
          </w:tcPr>
          <w:p w:rsidR="00B246ED" w:rsidRPr="00957CC7" w:rsidRDefault="00B246ED" w:rsidP="00CC05EC">
            <w:pPr>
              <w:cnfStyle w:val="000000100000" w:firstRow="0" w:lastRow="0" w:firstColumn="0" w:lastColumn="0" w:oddVBand="0" w:evenVBand="0" w:oddHBand="1" w:evenHBand="0" w:firstRowFirstColumn="0" w:firstRowLastColumn="0" w:lastRowFirstColumn="0" w:lastRowLastColumn="0"/>
              <w:rPr>
                <w:rFonts w:cs="Calibri"/>
              </w:rPr>
            </w:pPr>
            <w:r>
              <w:rPr>
                <w:rFonts w:cs="Calibri"/>
              </w:rPr>
              <w:t>1/7</w:t>
            </w:r>
          </w:p>
        </w:tc>
        <w:tc>
          <w:tcPr>
            <w:tcW w:w="992" w:type="dxa"/>
            <w:tcBorders>
              <w:top w:val="none" w:sz="0" w:space="0" w:color="auto"/>
              <w:bottom w:val="none" w:sz="0" w:space="0" w:color="auto"/>
            </w:tcBorders>
          </w:tcPr>
          <w:p w:rsidR="00B246ED" w:rsidRPr="00957CC7" w:rsidRDefault="00B246ED" w:rsidP="00CC05EC">
            <w:pPr>
              <w:cnfStyle w:val="000000100000" w:firstRow="0" w:lastRow="0" w:firstColumn="0" w:lastColumn="0" w:oddVBand="0" w:evenVBand="0" w:oddHBand="1" w:evenHBand="0" w:firstRowFirstColumn="0" w:firstRowLastColumn="0" w:lastRowFirstColumn="0" w:lastRowLastColumn="0"/>
              <w:rPr>
                <w:rFonts w:cs="Calibri"/>
              </w:rPr>
            </w:pPr>
          </w:p>
        </w:tc>
        <w:tc>
          <w:tcPr>
            <w:tcW w:w="1418" w:type="dxa"/>
            <w:tcBorders>
              <w:top w:val="none" w:sz="0" w:space="0" w:color="auto"/>
              <w:bottom w:val="none" w:sz="0" w:space="0" w:color="auto"/>
              <w:right w:val="none" w:sz="0" w:space="0" w:color="auto"/>
            </w:tcBorders>
          </w:tcPr>
          <w:p w:rsidR="00B246ED" w:rsidRPr="00957CC7" w:rsidRDefault="00B246ED" w:rsidP="00CC05EC">
            <w:pPr>
              <w:cnfStyle w:val="000000100000" w:firstRow="0" w:lastRow="0" w:firstColumn="0" w:lastColumn="0" w:oddVBand="0" w:evenVBand="0" w:oddHBand="1" w:evenHBand="0" w:firstRowFirstColumn="0" w:firstRowLastColumn="0" w:lastRowFirstColumn="0" w:lastRowLastColumn="0"/>
              <w:rPr>
                <w:rFonts w:cs="Calibri"/>
              </w:rPr>
            </w:pPr>
          </w:p>
        </w:tc>
      </w:tr>
      <w:tr w:rsidR="0059472C" w:rsidRPr="00957CC7" w:rsidTr="00026E19">
        <w:tc>
          <w:tcPr>
            <w:cnfStyle w:val="001000000000" w:firstRow="0" w:lastRow="0" w:firstColumn="1" w:lastColumn="0" w:oddVBand="0" w:evenVBand="0" w:oddHBand="0" w:evenHBand="0" w:firstRowFirstColumn="0" w:firstRowLastColumn="0" w:lastRowFirstColumn="0" w:lastRowLastColumn="0"/>
            <w:tcW w:w="0" w:type="auto"/>
          </w:tcPr>
          <w:p w:rsidR="00B246ED" w:rsidRPr="0079205E" w:rsidRDefault="00B246ED" w:rsidP="00CC05EC">
            <w:pPr>
              <w:rPr>
                <w:rFonts w:cs="Calibri"/>
              </w:rPr>
            </w:pPr>
            <w:r w:rsidRPr="0079205E">
              <w:rPr>
                <w:rFonts w:cs="Calibri"/>
              </w:rPr>
              <w:t>The Parcel by Marie Claire</w:t>
            </w:r>
            <w:r w:rsidR="00384FB8">
              <w:rPr>
                <w:rFonts w:cs="Calibri"/>
              </w:rPr>
              <w:t>*</w:t>
            </w:r>
          </w:p>
        </w:tc>
        <w:tc>
          <w:tcPr>
            <w:tcW w:w="838" w:type="dxa"/>
          </w:tcPr>
          <w:p w:rsidR="00B246ED" w:rsidRPr="00957CC7" w:rsidRDefault="00B246ED" w:rsidP="00CC05EC">
            <w:pPr>
              <w:cnfStyle w:val="000000000000" w:firstRow="0" w:lastRow="0" w:firstColumn="0" w:lastColumn="0" w:oddVBand="0" w:evenVBand="0" w:oddHBand="0" w:evenHBand="0" w:firstRowFirstColumn="0" w:firstRowLastColumn="0" w:lastRowFirstColumn="0" w:lastRowLastColumn="0"/>
              <w:rPr>
                <w:rFonts w:cs="Calibri"/>
              </w:rPr>
            </w:pPr>
          </w:p>
        </w:tc>
        <w:tc>
          <w:tcPr>
            <w:tcW w:w="850" w:type="dxa"/>
          </w:tcPr>
          <w:p w:rsidR="00B246ED" w:rsidRPr="00957CC7" w:rsidRDefault="00B246ED" w:rsidP="00CC05EC">
            <w:pPr>
              <w:cnfStyle w:val="000000000000" w:firstRow="0" w:lastRow="0" w:firstColumn="0" w:lastColumn="0" w:oddVBand="0" w:evenVBand="0" w:oddHBand="0" w:evenHBand="0" w:firstRowFirstColumn="0" w:firstRowLastColumn="0" w:lastRowFirstColumn="0" w:lastRowLastColumn="0"/>
              <w:rPr>
                <w:rFonts w:cs="Calibri"/>
              </w:rPr>
            </w:pPr>
          </w:p>
        </w:tc>
        <w:tc>
          <w:tcPr>
            <w:tcW w:w="851" w:type="dxa"/>
          </w:tcPr>
          <w:p w:rsidR="00B246ED" w:rsidRPr="00957CC7" w:rsidRDefault="00B246ED" w:rsidP="00CC05EC">
            <w:pPr>
              <w:cnfStyle w:val="000000000000" w:firstRow="0" w:lastRow="0" w:firstColumn="0" w:lastColumn="0" w:oddVBand="0" w:evenVBand="0" w:oddHBand="0" w:evenHBand="0" w:firstRowFirstColumn="0" w:firstRowLastColumn="0" w:lastRowFirstColumn="0" w:lastRowLastColumn="0"/>
              <w:rPr>
                <w:rFonts w:cs="Calibri"/>
              </w:rPr>
            </w:pPr>
            <w:r>
              <w:rPr>
                <w:rFonts w:cs="Calibri"/>
              </w:rPr>
              <w:t>0/10</w:t>
            </w:r>
          </w:p>
        </w:tc>
        <w:tc>
          <w:tcPr>
            <w:tcW w:w="992" w:type="dxa"/>
          </w:tcPr>
          <w:p w:rsidR="00B246ED" w:rsidRPr="00957CC7" w:rsidRDefault="00B246ED" w:rsidP="00CC05EC">
            <w:pPr>
              <w:cnfStyle w:val="000000000000" w:firstRow="0" w:lastRow="0" w:firstColumn="0" w:lastColumn="0" w:oddVBand="0" w:evenVBand="0" w:oddHBand="0" w:evenHBand="0" w:firstRowFirstColumn="0" w:firstRowLastColumn="0" w:lastRowFirstColumn="0" w:lastRowLastColumn="0"/>
              <w:rPr>
                <w:rFonts w:cs="Calibri"/>
              </w:rPr>
            </w:pPr>
          </w:p>
        </w:tc>
        <w:tc>
          <w:tcPr>
            <w:tcW w:w="992" w:type="dxa"/>
          </w:tcPr>
          <w:p w:rsidR="00B246ED" w:rsidRPr="00957CC7" w:rsidRDefault="00B246ED" w:rsidP="00CC05EC">
            <w:pPr>
              <w:cnfStyle w:val="000000000000" w:firstRow="0" w:lastRow="0" w:firstColumn="0" w:lastColumn="0" w:oddVBand="0" w:evenVBand="0" w:oddHBand="0" w:evenHBand="0" w:firstRowFirstColumn="0" w:firstRowLastColumn="0" w:lastRowFirstColumn="0" w:lastRowLastColumn="0"/>
              <w:rPr>
                <w:rFonts w:cs="Calibri"/>
              </w:rPr>
            </w:pPr>
          </w:p>
        </w:tc>
        <w:tc>
          <w:tcPr>
            <w:tcW w:w="1418" w:type="dxa"/>
          </w:tcPr>
          <w:p w:rsidR="00B246ED" w:rsidRPr="00957CC7" w:rsidRDefault="00385FD1" w:rsidP="00CC05EC">
            <w:pPr>
              <w:cnfStyle w:val="000000000000" w:firstRow="0" w:lastRow="0" w:firstColumn="0" w:lastColumn="0" w:oddVBand="0" w:evenVBand="0" w:oddHBand="0" w:evenHBand="0" w:firstRowFirstColumn="0" w:firstRowLastColumn="0" w:lastRowFirstColumn="0" w:lastRowLastColumn="0"/>
              <w:rPr>
                <w:rFonts w:cs="Calibri"/>
              </w:rPr>
            </w:pPr>
            <w:r>
              <w:rPr>
                <w:rFonts w:cs="Calibri"/>
              </w:rPr>
              <w:t>0/7</w:t>
            </w:r>
          </w:p>
        </w:tc>
      </w:tr>
      <w:tr w:rsidR="0059472C" w:rsidRPr="00957CC7" w:rsidTr="00026E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B246ED" w:rsidRPr="0079205E" w:rsidRDefault="00B246ED" w:rsidP="00CC05EC">
            <w:pPr>
              <w:rPr>
                <w:rFonts w:cs="Calibri"/>
              </w:rPr>
            </w:pPr>
            <w:r w:rsidRPr="0079205E">
              <w:rPr>
                <w:rFonts w:cs="Calibri"/>
              </w:rPr>
              <w:t>Lust Have It!</w:t>
            </w:r>
          </w:p>
        </w:tc>
        <w:tc>
          <w:tcPr>
            <w:tcW w:w="838" w:type="dxa"/>
            <w:tcBorders>
              <w:top w:val="none" w:sz="0" w:space="0" w:color="auto"/>
              <w:bottom w:val="none" w:sz="0" w:space="0" w:color="auto"/>
            </w:tcBorders>
          </w:tcPr>
          <w:p w:rsidR="00B246ED" w:rsidRPr="00957CC7" w:rsidRDefault="00B246ED" w:rsidP="00CC05EC">
            <w:pPr>
              <w:cnfStyle w:val="000000100000" w:firstRow="0" w:lastRow="0" w:firstColumn="0" w:lastColumn="0" w:oddVBand="0" w:evenVBand="0" w:oddHBand="1" w:evenHBand="0" w:firstRowFirstColumn="0" w:firstRowLastColumn="0" w:lastRowFirstColumn="0" w:lastRowLastColumn="0"/>
              <w:rPr>
                <w:rFonts w:cs="Calibri"/>
              </w:rPr>
            </w:pPr>
            <w:r>
              <w:rPr>
                <w:rFonts w:cs="Calibri"/>
              </w:rPr>
              <w:t>1/7</w:t>
            </w:r>
          </w:p>
        </w:tc>
        <w:tc>
          <w:tcPr>
            <w:tcW w:w="850" w:type="dxa"/>
            <w:tcBorders>
              <w:top w:val="none" w:sz="0" w:space="0" w:color="auto"/>
              <w:bottom w:val="none" w:sz="0" w:space="0" w:color="auto"/>
            </w:tcBorders>
          </w:tcPr>
          <w:p w:rsidR="00B246ED" w:rsidRPr="00957CC7" w:rsidRDefault="00B246ED" w:rsidP="00CC05EC">
            <w:pPr>
              <w:cnfStyle w:val="000000100000" w:firstRow="0" w:lastRow="0" w:firstColumn="0" w:lastColumn="0" w:oddVBand="0" w:evenVBand="0" w:oddHBand="1" w:evenHBand="0" w:firstRowFirstColumn="0" w:firstRowLastColumn="0" w:lastRowFirstColumn="0" w:lastRowLastColumn="0"/>
              <w:rPr>
                <w:rFonts w:cs="Calibri"/>
              </w:rPr>
            </w:pPr>
            <w:r>
              <w:rPr>
                <w:rFonts w:cs="Calibri"/>
              </w:rPr>
              <w:t>4/8</w:t>
            </w:r>
          </w:p>
        </w:tc>
        <w:tc>
          <w:tcPr>
            <w:tcW w:w="851" w:type="dxa"/>
            <w:tcBorders>
              <w:top w:val="none" w:sz="0" w:space="0" w:color="auto"/>
              <w:bottom w:val="none" w:sz="0" w:space="0" w:color="auto"/>
            </w:tcBorders>
          </w:tcPr>
          <w:p w:rsidR="00B246ED" w:rsidRPr="00957CC7" w:rsidRDefault="00B246ED" w:rsidP="00CC05EC">
            <w:pPr>
              <w:cnfStyle w:val="000000100000" w:firstRow="0" w:lastRow="0" w:firstColumn="0" w:lastColumn="0" w:oddVBand="0" w:evenVBand="0" w:oddHBand="1" w:evenHBand="0" w:firstRowFirstColumn="0" w:firstRowLastColumn="0" w:lastRowFirstColumn="0" w:lastRowLastColumn="0"/>
              <w:rPr>
                <w:rFonts w:cs="Calibri"/>
              </w:rPr>
            </w:pPr>
            <w:r>
              <w:rPr>
                <w:rFonts w:cs="Calibri"/>
              </w:rPr>
              <w:t>1/5</w:t>
            </w:r>
          </w:p>
        </w:tc>
        <w:tc>
          <w:tcPr>
            <w:tcW w:w="992" w:type="dxa"/>
            <w:tcBorders>
              <w:top w:val="none" w:sz="0" w:space="0" w:color="auto"/>
              <w:bottom w:val="none" w:sz="0" w:space="0" w:color="auto"/>
            </w:tcBorders>
          </w:tcPr>
          <w:p w:rsidR="00B246ED" w:rsidRPr="00957CC7" w:rsidRDefault="00B246ED" w:rsidP="00CC05EC">
            <w:pPr>
              <w:cnfStyle w:val="000000100000" w:firstRow="0" w:lastRow="0" w:firstColumn="0" w:lastColumn="0" w:oddVBand="0" w:evenVBand="0" w:oddHBand="1" w:evenHBand="0" w:firstRowFirstColumn="0" w:firstRowLastColumn="0" w:lastRowFirstColumn="0" w:lastRowLastColumn="0"/>
              <w:rPr>
                <w:rFonts w:cs="Calibri"/>
              </w:rPr>
            </w:pPr>
            <w:r>
              <w:rPr>
                <w:rFonts w:cs="Calibri"/>
              </w:rPr>
              <w:t>0/6</w:t>
            </w:r>
          </w:p>
        </w:tc>
        <w:tc>
          <w:tcPr>
            <w:tcW w:w="992" w:type="dxa"/>
            <w:tcBorders>
              <w:top w:val="none" w:sz="0" w:space="0" w:color="auto"/>
              <w:bottom w:val="none" w:sz="0" w:space="0" w:color="auto"/>
            </w:tcBorders>
          </w:tcPr>
          <w:p w:rsidR="00B246ED" w:rsidRPr="00957CC7" w:rsidRDefault="00B246ED" w:rsidP="00CC05EC">
            <w:pPr>
              <w:cnfStyle w:val="000000100000" w:firstRow="0" w:lastRow="0" w:firstColumn="0" w:lastColumn="0" w:oddVBand="0" w:evenVBand="0" w:oddHBand="1" w:evenHBand="0" w:firstRowFirstColumn="0" w:firstRowLastColumn="0" w:lastRowFirstColumn="0" w:lastRowLastColumn="0"/>
              <w:rPr>
                <w:rFonts w:cs="Calibri"/>
              </w:rPr>
            </w:pPr>
          </w:p>
        </w:tc>
        <w:tc>
          <w:tcPr>
            <w:tcW w:w="1418" w:type="dxa"/>
            <w:tcBorders>
              <w:top w:val="none" w:sz="0" w:space="0" w:color="auto"/>
              <w:bottom w:val="none" w:sz="0" w:space="0" w:color="auto"/>
              <w:right w:val="none" w:sz="0" w:space="0" w:color="auto"/>
            </w:tcBorders>
          </w:tcPr>
          <w:p w:rsidR="00B246ED" w:rsidRPr="00957CC7" w:rsidRDefault="00B246ED" w:rsidP="00CC05EC">
            <w:pPr>
              <w:cnfStyle w:val="000000100000" w:firstRow="0" w:lastRow="0" w:firstColumn="0" w:lastColumn="0" w:oddVBand="0" w:evenVBand="0" w:oddHBand="1" w:evenHBand="0" w:firstRowFirstColumn="0" w:firstRowLastColumn="0" w:lastRowFirstColumn="0" w:lastRowLastColumn="0"/>
              <w:rPr>
                <w:rFonts w:cs="Calibri"/>
              </w:rPr>
            </w:pPr>
          </w:p>
        </w:tc>
      </w:tr>
      <w:tr w:rsidR="0059472C" w:rsidRPr="00957CC7" w:rsidTr="00026E19">
        <w:tc>
          <w:tcPr>
            <w:cnfStyle w:val="001000000000" w:firstRow="0" w:lastRow="0" w:firstColumn="1" w:lastColumn="0" w:oddVBand="0" w:evenVBand="0" w:oddHBand="0" w:evenHBand="0" w:firstRowFirstColumn="0" w:firstRowLastColumn="0" w:lastRowFirstColumn="0" w:lastRowLastColumn="0"/>
            <w:tcW w:w="0" w:type="auto"/>
          </w:tcPr>
          <w:p w:rsidR="00B246ED" w:rsidRPr="0079205E" w:rsidRDefault="00B246ED" w:rsidP="00CC05EC">
            <w:pPr>
              <w:rPr>
                <w:rFonts w:cs="Calibri"/>
              </w:rPr>
            </w:pPr>
            <w:r w:rsidRPr="0079205E">
              <w:rPr>
                <w:rFonts w:cs="Calibri"/>
              </w:rPr>
              <w:t xml:space="preserve">Lust Have It! </w:t>
            </w:r>
            <w:r w:rsidR="00384FB8">
              <w:rPr>
                <w:rFonts w:cs="Calibri"/>
              </w:rPr>
              <w:t>–</w:t>
            </w:r>
            <w:r w:rsidRPr="0079205E">
              <w:rPr>
                <w:rFonts w:cs="Calibri"/>
              </w:rPr>
              <w:t xml:space="preserve"> Ecobox</w:t>
            </w:r>
            <w:r w:rsidR="00384FB8">
              <w:rPr>
                <w:rFonts w:cs="Calibri"/>
              </w:rPr>
              <w:t>*</w:t>
            </w:r>
          </w:p>
        </w:tc>
        <w:tc>
          <w:tcPr>
            <w:tcW w:w="838" w:type="dxa"/>
          </w:tcPr>
          <w:p w:rsidR="00B246ED" w:rsidRPr="00957CC7" w:rsidRDefault="00B246ED" w:rsidP="00CC05EC">
            <w:pPr>
              <w:cnfStyle w:val="000000000000" w:firstRow="0" w:lastRow="0" w:firstColumn="0" w:lastColumn="0" w:oddVBand="0" w:evenVBand="0" w:oddHBand="0" w:evenHBand="0" w:firstRowFirstColumn="0" w:firstRowLastColumn="0" w:lastRowFirstColumn="0" w:lastRowLastColumn="0"/>
              <w:rPr>
                <w:rFonts w:cs="Calibri"/>
              </w:rPr>
            </w:pPr>
          </w:p>
        </w:tc>
        <w:tc>
          <w:tcPr>
            <w:tcW w:w="850" w:type="dxa"/>
          </w:tcPr>
          <w:p w:rsidR="00B246ED" w:rsidRPr="00957CC7" w:rsidRDefault="00B246ED" w:rsidP="00CC05EC">
            <w:pPr>
              <w:cnfStyle w:val="000000000000" w:firstRow="0" w:lastRow="0" w:firstColumn="0" w:lastColumn="0" w:oddVBand="0" w:evenVBand="0" w:oddHBand="0" w:evenHBand="0" w:firstRowFirstColumn="0" w:firstRowLastColumn="0" w:lastRowFirstColumn="0" w:lastRowLastColumn="0"/>
              <w:rPr>
                <w:rFonts w:cs="Calibri"/>
              </w:rPr>
            </w:pPr>
          </w:p>
        </w:tc>
        <w:tc>
          <w:tcPr>
            <w:tcW w:w="851" w:type="dxa"/>
          </w:tcPr>
          <w:p w:rsidR="00B246ED" w:rsidRPr="00957CC7" w:rsidRDefault="00B246ED" w:rsidP="00CC05EC">
            <w:pPr>
              <w:cnfStyle w:val="000000000000" w:firstRow="0" w:lastRow="0" w:firstColumn="0" w:lastColumn="0" w:oddVBand="0" w:evenVBand="0" w:oddHBand="0" w:evenHBand="0" w:firstRowFirstColumn="0" w:firstRowLastColumn="0" w:lastRowFirstColumn="0" w:lastRowLastColumn="0"/>
              <w:rPr>
                <w:rFonts w:cs="Calibri"/>
              </w:rPr>
            </w:pPr>
            <w:r>
              <w:rPr>
                <w:rFonts w:cs="Calibri"/>
              </w:rPr>
              <w:t>4/8</w:t>
            </w:r>
          </w:p>
        </w:tc>
        <w:tc>
          <w:tcPr>
            <w:tcW w:w="992" w:type="dxa"/>
          </w:tcPr>
          <w:p w:rsidR="00B246ED" w:rsidRPr="00957CC7" w:rsidRDefault="00B246ED" w:rsidP="00CC05EC">
            <w:pPr>
              <w:cnfStyle w:val="000000000000" w:firstRow="0" w:lastRow="0" w:firstColumn="0" w:lastColumn="0" w:oddVBand="0" w:evenVBand="0" w:oddHBand="0" w:evenHBand="0" w:firstRowFirstColumn="0" w:firstRowLastColumn="0" w:lastRowFirstColumn="0" w:lastRowLastColumn="0"/>
              <w:rPr>
                <w:rFonts w:cs="Calibri"/>
              </w:rPr>
            </w:pPr>
          </w:p>
        </w:tc>
        <w:tc>
          <w:tcPr>
            <w:tcW w:w="992" w:type="dxa"/>
          </w:tcPr>
          <w:p w:rsidR="00B246ED" w:rsidRPr="00957CC7" w:rsidRDefault="00B246ED" w:rsidP="00CC05EC">
            <w:pPr>
              <w:cnfStyle w:val="000000000000" w:firstRow="0" w:lastRow="0" w:firstColumn="0" w:lastColumn="0" w:oddVBand="0" w:evenVBand="0" w:oddHBand="0" w:evenHBand="0" w:firstRowFirstColumn="0" w:firstRowLastColumn="0" w:lastRowFirstColumn="0" w:lastRowLastColumn="0"/>
              <w:rPr>
                <w:rFonts w:cs="Calibri"/>
              </w:rPr>
            </w:pPr>
          </w:p>
        </w:tc>
        <w:tc>
          <w:tcPr>
            <w:tcW w:w="1418" w:type="dxa"/>
          </w:tcPr>
          <w:p w:rsidR="00B246ED" w:rsidRPr="00957CC7" w:rsidRDefault="00B246ED" w:rsidP="00CC05EC">
            <w:pPr>
              <w:cnfStyle w:val="000000000000" w:firstRow="0" w:lastRow="0" w:firstColumn="0" w:lastColumn="0" w:oddVBand="0" w:evenVBand="0" w:oddHBand="0" w:evenHBand="0" w:firstRowFirstColumn="0" w:firstRowLastColumn="0" w:lastRowFirstColumn="0" w:lastRowLastColumn="0"/>
              <w:rPr>
                <w:rFonts w:cs="Calibri"/>
              </w:rPr>
            </w:pPr>
          </w:p>
        </w:tc>
      </w:tr>
      <w:tr w:rsidR="0059472C" w:rsidRPr="00957CC7" w:rsidTr="00026E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B246ED" w:rsidRPr="0079205E" w:rsidRDefault="00B246ED" w:rsidP="00CC05EC">
            <w:pPr>
              <w:rPr>
                <w:rFonts w:cs="Calibri"/>
              </w:rPr>
            </w:pPr>
            <w:r w:rsidRPr="0079205E">
              <w:rPr>
                <w:rFonts w:cs="Calibri"/>
              </w:rPr>
              <w:t>Violet Box</w:t>
            </w:r>
          </w:p>
        </w:tc>
        <w:tc>
          <w:tcPr>
            <w:tcW w:w="838" w:type="dxa"/>
            <w:tcBorders>
              <w:top w:val="none" w:sz="0" w:space="0" w:color="auto"/>
              <w:bottom w:val="none" w:sz="0" w:space="0" w:color="auto"/>
            </w:tcBorders>
          </w:tcPr>
          <w:p w:rsidR="00B246ED" w:rsidRPr="00957CC7" w:rsidRDefault="00B246ED" w:rsidP="00CC05EC">
            <w:pPr>
              <w:cnfStyle w:val="000000100000" w:firstRow="0" w:lastRow="0" w:firstColumn="0" w:lastColumn="0" w:oddVBand="0" w:evenVBand="0" w:oddHBand="1" w:evenHBand="0" w:firstRowFirstColumn="0" w:firstRowLastColumn="0" w:lastRowFirstColumn="0" w:lastRowLastColumn="0"/>
              <w:rPr>
                <w:rFonts w:cs="Calibri"/>
              </w:rPr>
            </w:pPr>
            <w:r>
              <w:rPr>
                <w:rFonts w:cs="Calibri"/>
              </w:rPr>
              <w:t>3/7</w:t>
            </w:r>
          </w:p>
        </w:tc>
        <w:tc>
          <w:tcPr>
            <w:tcW w:w="850" w:type="dxa"/>
            <w:tcBorders>
              <w:top w:val="none" w:sz="0" w:space="0" w:color="auto"/>
              <w:bottom w:val="none" w:sz="0" w:space="0" w:color="auto"/>
            </w:tcBorders>
          </w:tcPr>
          <w:p w:rsidR="00B246ED" w:rsidRPr="00957CC7" w:rsidRDefault="00B246ED" w:rsidP="00CC05EC">
            <w:pPr>
              <w:cnfStyle w:val="000000100000" w:firstRow="0" w:lastRow="0" w:firstColumn="0" w:lastColumn="0" w:oddVBand="0" w:evenVBand="0" w:oddHBand="1" w:evenHBand="0" w:firstRowFirstColumn="0" w:firstRowLastColumn="0" w:lastRowFirstColumn="0" w:lastRowLastColumn="0"/>
              <w:rPr>
                <w:rFonts w:cs="Calibri"/>
              </w:rPr>
            </w:pPr>
            <w:r>
              <w:rPr>
                <w:rFonts w:cs="Calibri"/>
              </w:rPr>
              <w:t>3/6</w:t>
            </w:r>
          </w:p>
        </w:tc>
        <w:tc>
          <w:tcPr>
            <w:tcW w:w="851" w:type="dxa"/>
            <w:tcBorders>
              <w:top w:val="none" w:sz="0" w:space="0" w:color="auto"/>
              <w:bottom w:val="none" w:sz="0" w:space="0" w:color="auto"/>
            </w:tcBorders>
          </w:tcPr>
          <w:p w:rsidR="00B246ED" w:rsidRPr="00957CC7" w:rsidRDefault="00B246ED" w:rsidP="00CC05EC">
            <w:pPr>
              <w:cnfStyle w:val="000000100000" w:firstRow="0" w:lastRow="0" w:firstColumn="0" w:lastColumn="0" w:oddVBand="0" w:evenVBand="0" w:oddHBand="1" w:evenHBand="0" w:firstRowFirstColumn="0" w:firstRowLastColumn="0" w:lastRowFirstColumn="0" w:lastRowLastColumn="0"/>
              <w:rPr>
                <w:rFonts w:cs="Calibri"/>
              </w:rPr>
            </w:pPr>
            <w:r>
              <w:rPr>
                <w:rFonts w:cs="Calibri"/>
              </w:rPr>
              <w:t>2/5</w:t>
            </w:r>
          </w:p>
        </w:tc>
        <w:tc>
          <w:tcPr>
            <w:tcW w:w="992" w:type="dxa"/>
            <w:tcBorders>
              <w:top w:val="none" w:sz="0" w:space="0" w:color="auto"/>
              <w:bottom w:val="none" w:sz="0" w:space="0" w:color="auto"/>
            </w:tcBorders>
          </w:tcPr>
          <w:p w:rsidR="00B246ED" w:rsidRPr="00957CC7" w:rsidRDefault="00B246ED" w:rsidP="00CC05EC">
            <w:pPr>
              <w:cnfStyle w:val="000000100000" w:firstRow="0" w:lastRow="0" w:firstColumn="0" w:lastColumn="0" w:oddVBand="0" w:evenVBand="0" w:oddHBand="1" w:evenHBand="0" w:firstRowFirstColumn="0" w:firstRowLastColumn="0" w:lastRowFirstColumn="0" w:lastRowLastColumn="0"/>
              <w:rPr>
                <w:rFonts w:cs="Calibri"/>
              </w:rPr>
            </w:pPr>
            <w:r>
              <w:rPr>
                <w:rFonts w:cs="Calibri"/>
              </w:rPr>
              <w:t>0/6</w:t>
            </w:r>
          </w:p>
        </w:tc>
        <w:tc>
          <w:tcPr>
            <w:tcW w:w="992" w:type="dxa"/>
            <w:tcBorders>
              <w:top w:val="none" w:sz="0" w:space="0" w:color="auto"/>
              <w:bottom w:val="none" w:sz="0" w:space="0" w:color="auto"/>
            </w:tcBorders>
          </w:tcPr>
          <w:p w:rsidR="00B246ED" w:rsidRPr="00957CC7" w:rsidRDefault="00B246ED" w:rsidP="00CC05EC">
            <w:pPr>
              <w:cnfStyle w:val="000000100000" w:firstRow="0" w:lastRow="0" w:firstColumn="0" w:lastColumn="0" w:oddVBand="0" w:evenVBand="0" w:oddHBand="1" w:evenHBand="0" w:firstRowFirstColumn="0" w:firstRowLastColumn="0" w:lastRowFirstColumn="0" w:lastRowLastColumn="0"/>
              <w:rPr>
                <w:rFonts w:cs="Calibri"/>
              </w:rPr>
            </w:pPr>
          </w:p>
        </w:tc>
        <w:tc>
          <w:tcPr>
            <w:tcW w:w="1418" w:type="dxa"/>
            <w:tcBorders>
              <w:top w:val="none" w:sz="0" w:space="0" w:color="auto"/>
              <w:bottom w:val="none" w:sz="0" w:space="0" w:color="auto"/>
              <w:right w:val="none" w:sz="0" w:space="0" w:color="auto"/>
            </w:tcBorders>
          </w:tcPr>
          <w:p w:rsidR="00B246ED" w:rsidRPr="00957CC7" w:rsidRDefault="00B246ED" w:rsidP="00CC05EC">
            <w:pPr>
              <w:cnfStyle w:val="000000100000" w:firstRow="0" w:lastRow="0" w:firstColumn="0" w:lastColumn="0" w:oddVBand="0" w:evenVBand="0" w:oddHBand="1" w:evenHBand="0" w:firstRowFirstColumn="0" w:firstRowLastColumn="0" w:lastRowFirstColumn="0" w:lastRowLastColumn="0"/>
              <w:rPr>
                <w:rFonts w:cs="Calibri"/>
              </w:rPr>
            </w:pPr>
          </w:p>
        </w:tc>
      </w:tr>
      <w:tr w:rsidR="0059472C" w:rsidRPr="00957CC7" w:rsidTr="00026E19">
        <w:tc>
          <w:tcPr>
            <w:cnfStyle w:val="001000000000" w:firstRow="0" w:lastRow="0" w:firstColumn="1" w:lastColumn="0" w:oddVBand="0" w:evenVBand="0" w:oddHBand="0" w:evenHBand="0" w:firstRowFirstColumn="0" w:firstRowLastColumn="0" w:lastRowFirstColumn="0" w:lastRowLastColumn="0"/>
            <w:tcW w:w="0" w:type="auto"/>
          </w:tcPr>
          <w:p w:rsidR="00B246ED" w:rsidRPr="0079205E" w:rsidRDefault="00B246ED" w:rsidP="00CC05EC">
            <w:pPr>
              <w:rPr>
                <w:rFonts w:cs="Calibri"/>
              </w:rPr>
            </w:pPr>
            <w:r w:rsidRPr="0079205E">
              <w:rPr>
                <w:rFonts w:cs="Calibri"/>
              </w:rPr>
              <w:t>Her Fashion Box</w:t>
            </w:r>
          </w:p>
        </w:tc>
        <w:tc>
          <w:tcPr>
            <w:tcW w:w="838" w:type="dxa"/>
          </w:tcPr>
          <w:p w:rsidR="00B246ED" w:rsidRPr="00957CC7" w:rsidRDefault="00B246ED" w:rsidP="00CC05EC">
            <w:pPr>
              <w:cnfStyle w:val="000000000000" w:firstRow="0" w:lastRow="0" w:firstColumn="0" w:lastColumn="0" w:oddVBand="0" w:evenVBand="0" w:oddHBand="0" w:evenHBand="0" w:firstRowFirstColumn="0" w:firstRowLastColumn="0" w:lastRowFirstColumn="0" w:lastRowLastColumn="0"/>
              <w:rPr>
                <w:rFonts w:cs="Calibri"/>
              </w:rPr>
            </w:pPr>
            <w:r>
              <w:rPr>
                <w:rFonts w:cs="Calibri"/>
              </w:rPr>
              <w:t>2/7</w:t>
            </w:r>
          </w:p>
        </w:tc>
        <w:tc>
          <w:tcPr>
            <w:tcW w:w="850" w:type="dxa"/>
          </w:tcPr>
          <w:p w:rsidR="00B246ED" w:rsidRPr="00957CC7" w:rsidRDefault="00B246ED" w:rsidP="00CC05EC">
            <w:pPr>
              <w:cnfStyle w:val="000000000000" w:firstRow="0" w:lastRow="0" w:firstColumn="0" w:lastColumn="0" w:oddVBand="0" w:evenVBand="0" w:oddHBand="0" w:evenHBand="0" w:firstRowFirstColumn="0" w:firstRowLastColumn="0" w:lastRowFirstColumn="0" w:lastRowLastColumn="0"/>
              <w:rPr>
                <w:rFonts w:cs="Calibri"/>
              </w:rPr>
            </w:pPr>
            <w:r>
              <w:rPr>
                <w:rFonts w:cs="Calibri"/>
              </w:rPr>
              <w:t>2/8</w:t>
            </w:r>
          </w:p>
        </w:tc>
        <w:tc>
          <w:tcPr>
            <w:tcW w:w="851" w:type="dxa"/>
          </w:tcPr>
          <w:p w:rsidR="00B246ED" w:rsidRPr="00957CC7" w:rsidRDefault="00B246ED" w:rsidP="00CC05EC">
            <w:pPr>
              <w:cnfStyle w:val="000000000000" w:firstRow="0" w:lastRow="0" w:firstColumn="0" w:lastColumn="0" w:oddVBand="0" w:evenVBand="0" w:oddHBand="0" w:evenHBand="0" w:firstRowFirstColumn="0" w:firstRowLastColumn="0" w:lastRowFirstColumn="0" w:lastRowLastColumn="0"/>
              <w:rPr>
                <w:rFonts w:cs="Calibri"/>
              </w:rPr>
            </w:pPr>
            <w:r>
              <w:rPr>
                <w:rFonts w:cs="Calibri"/>
              </w:rPr>
              <w:t>2/7</w:t>
            </w:r>
          </w:p>
        </w:tc>
        <w:tc>
          <w:tcPr>
            <w:tcW w:w="992" w:type="dxa"/>
          </w:tcPr>
          <w:p w:rsidR="00B246ED" w:rsidRPr="00957CC7" w:rsidRDefault="000774D5" w:rsidP="00CC05EC">
            <w:pPr>
              <w:cnfStyle w:val="000000000000" w:firstRow="0" w:lastRow="0" w:firstColumn="0" w:lastColumn="0" w:oddVBand="0" w:evenVBand="0" w:oddHBand="0" w:evenHBand="0" w:firstRowFirstColumn="0" w:firstRowLastColumn="0" w:lastRowFirstColumn="0" w:lastRowLastColumn="0"/>
              <w:rPr>
                <w:rFonts w:cs="Calibri"/>
              </w:rPr>
            </w:pPr>
            <w:r>
              <w:rPr>
                <w:rFonts w:cs="Calibri"/>
              </w:rPr>
              <w:t>0/5</w:t>
            </w:r>
          </w:p>
        </w:tc>
        <w:tc>
          <w:tcPr>
            <w:tcW w:w="992" w:type="dxa"/>
          </w:tcPr>
          <w:p w:rsidR="00B246ED" w:rsidRPr="00957CC7" w:rsidRDefault="000774D5" w:rsidP="00CC05EC">
            <w:pPr>
              <w:cnfStyle w:val="000000000000" w:firstRow="0" w:lastRow="0" w:firstColumn="0" w:lastColumn="0" w:oddVBand="0" w:evenVBand="0" w:oddHBand="0" w:evenHBand="0" w:firstRowFirstColumn="0" w:firstRowLastColumn="0" w:lastRowFirstColumn="0" w:lastRowLastColumn="0"/>
              <w:rPr>
                <w:rFonts w:cs="Calibri"/>
              </w:rPr>
            </w:pPr>
            <w:r>
              <w:rPr>
                <w:rFonts w:cs="Calibri"/>
              </w:rPr>
              <w:t>0/8</w:t>
            </w:r>
          </w:p>
        </w:tc>
        <w:tc>
          <w:tcPr>
            <w:tcW w:w="1418" w:type="dxa"/>
          </w:tcPr>
          <w:p w:rsidR="00B246ED" w:rsidRPr="00957CC7" w:rsidRDefault="00B246ED" w:rsidP="00CC05EC">
            <w:pPr>
              <w:cnfStyle w:val="000000000000" w:firstRow="0" w:lastRow="0" w:firstColumn="0" w:lastColumn="0" w:oddVBand="0" w:evenVBand="0" w:oddHBand="0" w:evenHBand="0" w:firstRowFirstColumn="0" w:firstRowLastColumn="0" w:lastRowFirstColumn="0" w:lastRowLastColumn="0"/>
              <w:rPr>
                <w:rFonts w:cs="Calibri"/>
              </w:rPr>
            </w:pPr>
          </w:p>
        </w:tc>
      </w:tr>
    </w:tbl>
    <w:p w:rsidR="00384FB8" w:rsidRDefault="00384FB8" w:rsidP="008D3910">
      <w:r>
        <w:t>*Quarterly subscription services</w:t>
      </w:r>
    </w:p>
    <w:p w:rsidR="008D3910" w:rsidRDefault="008D3910" w:rsidP="008D3910">
      <w:pPr>
        <w:spacing w:before="0"/>
      </w:pPr>
      <w:r>
        <w:t>Note: The Parcel by Girlfriend and Violet Box were discontinued.</w:t>
      </w:r>
    </w:p>
    <w:p w:rsidR="00F62ED7" w:rsidRDefault="00F62ED7" w:rsidP="004F60ED">
      <w:r>
        <w:t>After receiving the first delivery w</w:t>
      </w:r>
      <w:r w:rsidR="004F60ED">
        <w:t xml:space="preserve">e </w:t>
      </w:r>
      <w:r w:rsidR="00665AA6">
        <w:t xml:space="preserve">wrote to each business </w:t>
      </w:r>
      <w:r w:rsidR="004F60ED" w:rsidRPr="00B90668">
        <w:t xml:space="preserve">to provide our </w:t>
      </w:r>
      <w:r w:rsidR="00665AA6">
        <w:t>assessment of their deliveries and to bring each business into compliance with the Mandatory Standard.</w:t>
      </w:r>
    </w:p>
    <w:p w:rsidR="005E52E8" w:rsidRDefault="005E52E8" w:rsidP="004F60ED">
      <w:r>
        <w:t>In</w:t>
      </w:r>
      <w:r w:rsidR="002F0E4C">
        <w:t xml:space="preserve"> the first month of the survey</w:t>
      </w:r>
      <w:r w:rsidR="00376ED9">
        <w:t>, each business was</w:t>
      </w:r>
      <w:r w:rsidR="002F0E4C">
        <w:t xml:space="preserve"> requ</w:t>
      </w:r>
      <w:r>
        <w:t>ested</w:t>
      </w:r>
      <w:r w:rsidR="002F0E4C">
        <w:t xml:space="preserve"> to provide </w:t>
      </w:r>
      <w:r>
        <w:t xml:space="preserve">the ingredients and their concentrations for each unlabelled cosmetic product as part of a formulation safety audit. Suppliers were reminded of the requirements of the </w:t>
      </w:r>
      <w:r w:rsidR="002C0CB1" w:rsidRPr="002C0CB1">
        <w:rPr>
          <w:i/>
        </w:rPr>
        <w:t>Industrial</w:t>
      </w:r>
      <w:r w:rsidRPr="002C0CB1">
        <w:rPr>
          <w:i/>
        </w:rPr>
        <w:t xml:space="preserve"> </w:t>
      </w:r>
      <w:r w:rsidR="002C0CB1" w:rsidRPr="002C0CB1">
        <w:rPr>
          <w:i/>
        </w:rPr>
        <w:t>Chemicals</w:t>
      </w:r>
      <w:r w:rsidRPr="002C0CB1">
        <w:rPr>
          <w:i/>
        </w:rPr>
        <w:t xml:space="preserve"> Notification and Assessment Act</w:t>
      </w:r>
      <w:r w:rsidR="002C0CB1">
        <w:rPr>
          <w:i/>
        </w:rPr>
        <w:t xml:space="preserve"> </w:t>
      </w:r>
      <w:r w:rsidR="002C0CB1" w:rsidRPr="002C0CB1">
        <w:t>and the Poisons Standard</w:t>
      </w:r>
      <w:r w:rsidR="002C0CB1">
        <w:t xml:space="preserve"> and </w:t>
      </w:r>
      <w:r w:rsidR="00376ED9">
        <w:t xml:space="preserve">with the information provided, we </w:t>
      </w:r>
      <w:r>
        <w:t xml:space="preserve">confirmed that </w:t>
      </w:r>
      <w:r w:rsidR="002C0CB1">
        <w:t>the products only contained ingredients</w:t>
      </w:r>
      <w:r w:rsidR="00EA480B">
        <w:t xml:space="preserve"> permitted for use in Australia</w:t>
      </w:r>
      <w:r w:rsidR="002C0CB1">
        <w:t>.</w:t>
      </w:r>
    </w:p>
    <w:p w:rsidR="00822CF8" w:rsidRDefault="004F60ED" w:rsidP="004F60ED">
      <w:r>
        <w:t xml:space="preserve">We requested a response detailing how they plan to become compliant and in response, each </w:t>
      </w:r>
      <w:r w:rsidR="00822CF8">
        <w:t>subscription service</w:t>
      </w:r>
      <w:r>
        <w:t xml:space="preserve"> committed to emailing their customers with the ingredient lists for the unlabelled cosmetics </w:t>
      </w:r>
      <w:r w:rsidR="00822CF8">
        <w:t xml:space="preserve">that </w:t>
      </w:r>
      <w:r>
        <w:t xml:space="preserve">they </w:t>
      </w:r>
      <w:r w:rsidR="007C2C18">
        <w:t xml:space="preserve">had already </w:t>
      </w:r>
      <w:r w:rsidR="00822CF8">
        <w:t xml:space="preserve">supplied. Examples of the corrective emails sent to subscribers are provided at </w:t>
      </w:r>
      <w:r w:rsidR="00822CF8" w:rsidRPr="00394E63">
        <w:rPr>
          <w:b/>
        </w:rPr>
        <w:t>Attachment A</w:t>
      </w:r>
      <w:r w:rsidR="00822CF8">
        <w:t xml:space="preserve">. These corrections were made for each non-compliant product that we observed throughout the survey. </w:t>
      </w:r>
    </w:p>
    <w:p w:rsidR="000B5CDD" w:rsidRDefault="00822CF8" w:rsidP="004F60ED">
      <w:r>
        <w:t xml:space="preserve">Each business </w:t>
      </w:r>
      <w:r w:rsidR="004F60ED">
        <w:t>committ</w:t>
      </w:r>
      <w:r w:rsidR="007D39D9">
        <w:t>ed to compliance with the Mandatory S</w:t>
      </w:r>
      <w:r>
        <w:t>tandard in the future and agreed to provide ingredients for each product that they supply</w:t>
      </w:r>
      <w:r w:rsidR="004F60ED">
        <w:t>.</w:t>
      </w:r>
      <w:r w:rsidR="00026EC5">
        <w:t xml:space="preserve"> </w:t>
      </w:r>
      <w:r>
        <w:t xml:space="preserve">We held discussions with the subscription services and provided advice about how they could </w:t>
      </w:r>
      <w:r w:rsidR="007F4786">
        <w:t xml:space="preserve">achieve compliance. Each subscription service agreed to </w:t>
      </w:r>
      <w:r w:rsidR="000B5CDD">
        <w:t>only di</w:t>
      </w:r>
      <w:r w:rsidR="007F4786">
        <w:t>stribute</w:t>
      </w:r>
      <w:r w:rsidR="00972F1B">
        <w:t xml:space="preserve"> labelled products or</w:t>
      </w:r>
      <w:r w:rsidR="000B5CDD">
        <w:t xml:space="preserve"> </w:t>
      </w:r>
      <w:r w:rsidR="007F4786">
        <w:t>to provide</w:t>
      </w:r>
      <w:r w:rsidR="00972F1B">
        <w:t xml:space="preserve"> </w:t>
      </w:r>
      <w:r w:rsidR="000B5CDD">
        <w:t>a suppleme</w:t>
      </w:r>
      <w:r w:rsidR="007F4786">
        <w:t>ntary card inside the delivery</w:t>
      </w:r>
      <w:r w:rsidR="000B5CDD">
        <w:t xml:space="preserve"> </w:t>
      </w:r>
      <w:r w:rsidR="00EA44C1">
        <w:t>which lists</w:t>
      </w:r>
      <w:r w:rsidR="000B5CDD">
        <w:t xml:space="preserve"> the ingredients for</w:t>
      </w:r>
      <w:r w:rsidR="00972F1B">
        <w:t xml:space="preserve"> each product</w:t>
      </w:r>
      <w:r w:rsidR="000B5CDD">
        <w:t>.</w:t>
      </w:r>
      <w:r w:rsidR="00026EC5">
        <w:t xml:space="preserve"> </w:t>
      </w:r>
      <w:r w:rsidR="005673AD">
        <w:t xml:space="preserve">These changes required cosmetic subscription services to update their procedures and improve coordination with their suppliers. </w:t>
      </w:r>
      <w:r w:rsidR="00972F1B">
        <w:t xml:space="preserve">Examples of these cards </w:t>
      </w:r>
      <w:r w:rsidR="006F0A64">
        <w:t xml:space="preserve">are provided at </w:t>
      </w:r>
      <w:r w:rsidR="006F0A64" w:rsidRPr="00394E63">
        <w:rPr>
          <w:b/>
        </w:rPr>
        <w:t xml:space="preserve">Attachment </w:t>
      </w:r>
      <w:r w:rsidR="006F0A64">
        <w:rPr>
          <w:b/>
        </w:rPr>
        <w:t>B</w:t>
      </w:r>
      <w:r w:rsidR="006F0A64">
        <w:t>.</w:t>
      </w:r>
      <w:r w:rsidR="004D2A50">
        <w:t xml:space="preserve"> </w:t>
      </w:r>
    </w:p>
    <w:p w:rsidR="00612FFE" w:rsidRPr="00B90668" w:rsidRDefault="00612FFE" w:rsidP="00612FFE">
      <w:r>
        <w:t xml:space="preserve">At the beginning of the survey some suppliers were unaware of their obligation to comply with the Mandatory Standard. </w:t>
      </w:r>
      <w:r w:rsidRPr="00B90668">
        <w:t xml:space="preserve">Some </w:t>
      </w:r>
      <w:r>
        <w:t xml:space="preserve">of the </w:t>
      </w:r>
      <w:r w:rsidRPr="00B90668">
        <w:t xml:space="preserve">cosmetic products </w:t>
      </w:r>
      <w:r>
        <w:t xml:space="preserve">they </w:t>
      </w:r>
      <w:r w:rsidRPr="00B90668">
        <w:t xml:space="preserve">supplied without ingredient lists were small </w:t>
      </w:r>
      <w:r>
        <w:t>units that may not be supplied through conventional retail</w:t>
      </w:r>
      <w:r w:rsidRPr="00B90668">
        <w:t xml:space="preserve">. In discussions with the businesses, some </w:t>
      </w:r>
      <w:r>
        <w:t>considered these products</w:t>
      </w:r>
      <w:r w:rsidRPr="00B90668">
        <w:t xml:space="preserve"> </w:t>
      </w:r>
      <w:r>
        <w:t>to be</w:t>
      </w:r>
      <w:r w:rsidRPr="00B90668">
        <w:t xml:space="preserve"> </w:t>
      </w:r>
      <w:r>
        <w:t>free samples</w:t>
      </w:r>
      <w:r w:rsidR="00082AC5">
        <w:t>,</w:t>
      </w:r>
      <w:r>
        <w:t xml:space="preserve"> and therefore </w:t>
      </w:r>
      <w:r w:rsidRPr="00B90668">
        <w:t>exempt from ingredient labelling requirements. Under the Mandatory Standard free samples are exempt</w:t>
      </w:r>
      <w:r w:rsidR="00082AC5">
        <w:t>,</w:t>
      </w:r>
      <w:r w:rsidRPr="00B90668">
        <w:t xml:space="preserve"> however, </w:t>
      </w:r>
      <w:r>
        <w:t xml:space="preserve">as retailers </w:t>
      </w:r>
      <w:r w:rsidRPr="00B90668">
        <w:t>the cosmetic subscription services charge their customers for the supply of these products.</w:t>
      </w:r>
      <w:r>
        <w:t xml:space="preserve"> This obligation </w:t>
      </w:r>
      <w:r w:rsidR="00082AC5">
        <w:t xml:space="preserve">to provide ingredient lists </w:t>
      </w:r>
      <w:r>
        <w:t xml:space="preserve">applies whether or not the retailer received the products free of charge from the manufacturer. </w:t>
      </w:r>
    </w:p>
    <w:p w:rsidR="00E1668C" w:rsidRDefault="00665AA6" w:rsidP="00E1668C">
      <w:r>
        <w:t xml:space="preserve">Businesses were also reminded about other obligations </w:t>
      </w:r>
      <w:r w:rsidRPr="00B90668">
        <w:t xml:space="preserve">under the </w:t>
      </w:r>
      <w:r w:rsidRPr="00B90668">
        <w:rPr>
          <w:i/>
        </w:rPr>
        <w:t>Competition and Consumer Act 2010</w:t>
      </w:r>
      <w:r w:rsidR="00026EC5">
        <w:t>. Firstly, t</w:t>
      </w:r>
      <w:r w:rsidR="00E1668C">
        <w:t>he subscription services were reminded of m</w:t>
      </w:r>
      <w:r w:rsidR="00B85E83">
        <w:t xml:space="preserve">andatory reporting </w:t>
      </w:r>
      <w:r w:rsidR="00B85E83">
        <w:lastRenderedPageBreak/>
        <w:t>requirements</w:t>
      </w:r>
      <w:r w:rsidR="00E1668C">
        <w:t xml:space="preserve"> which apply to all businesses in the supply chain for consumer products. They are required to report death, serious injury or illness of any person that they become aware of; and that someone believes was caused by the use of a consumer good which they supply or provide a related service for</w:t>
      </w:r>
      <w:r w:rsidR="008668C1">
        <w:t xml:space="preserve">. </w:t>
      </w:r>
      <w:r w:rsidR="00E1668C">
        <w:t>A supplier is required to submit the report within two days of becoming aware of a reportable incident.</w:t>
      </w:r>
    </w:p>
    <w:p w:rsidR="00665AA6" w:rsidRDefault="00026EC5" w:rsidP="004F60ED">
      <w:r>
        <w:t>Secondly, m</w:t>
      </w:r>
      <w:r w:rsidR="00780036">
        <w:t>any cosmetic products supplied throughout this survey featured p</w:t>
      </w:r>
      <w:r w:rsidR="00665AA6">
        <w:t xml:space="preserve">remium </w:t>
      </w:r>
      <w:r w:rsidR="008668C1">
        <w:t xml:space="preserve">and credence </w:t>
      </w:r>
      <w:r w:rsidR="00665AA6">
        <w:t>claims</w:t>
      </w:r>
      <w:r w:rsidR="008668C1">
        <w:t xml:space="preserve">. Businesses were reminded to take care </w:t>
      </w:r>
      <w:r w:rsidR="00780036">
        <w:t xml:space="preserve">when making these claims and </w:t>
      </w:r>
      <w:r>
        <w:t xml:space="preserve">to </w:t>
      </w:r>
      <w:r w:rsidR="00780036">
        <w:t>ensure that they can be substantiated.</w:t>
      </w:r>
    </w:p>
    <w:p w:rsidR="00665AA6" w:rsidRDefault="00780036" w:rsidP="004F60ED">
      <w:r>
        <w:t>Finally, the businesses were reminded about c</w:t>
      </w:r>
      <w:r w:rsidR="00A54390">
        <w:t xml:space="preserve">onsumer guarantees relating to </w:t>
      </w:r>
      <w:r>
        <w:t xml:space="preserve">the supply of products and services, </w:t>
      </w:r>
      <w:r w:rsidR="00665AA6">
        <w:t>particularly with regard to</w:t>
      </w:r>
      <w:r w:rsidR="00A54390">
        <w:t xml:space="preserve"> delivery of parcels, </w:t>
      </w:r>
      <w:r>
        <w:t>responding to</w:t>
      </w:r>
      <w:r w:rsidR="00665AA6">
        <w:t xml:space="preserve"> customer enquiries and processing cancellation requests</w:t>
      </w:r>
      <w:r>
        <w:t xml:space="preserve"> within a reasonable timeframe. </w:t>
      </w:r>
    </w:p>
    <w:p w:rsidR="00F01081" w:rsidRDefault="00F01081" w:rsidP="00C907F7">
      <w:pPr>
        <w:pStyle w:val="Numbered11"/>
      </w:pPr>
      <w:bookmarkStart w:id="12" w:name="_Toc430695250"/>
      <w:r>
        <w:t>Other issues</w:t>
      </w:r>
      <w:bookmarkEnd w:id="12"/>
    </w:p>
    <w:p w:rsidR="00F01081" w:rsidRDefault="00806682" w:rsidP="00806682">
      <w:r>
        <w:t xml:space="preserve">One subscription service supplied unlabelled sunglasses that did not meet the requirements of the </w:t>
      </w:r>
      <w:r w:rsidRPr="006B35AE">
        <w:rPr>
          <w:i/>
        </w:rPr>
        <w:t>Consumer Protection Notice No. 13 of 2003 — Consumer product safety standard: Sunglasses and fashion spectacles</w:t>
      </w:r>
      <w:r>
        <w:t xml:space="preserve">. </w:t>
      </w:r>
      <w:r w:rsidR="00F92532">
        <w:t xml:space="preserve">Sunglasses must be labelled with the </w:t>
      </w:r>
      <w:r w:rsidR="0052341D">
        <w:t xml:space="preserve">level of protection </w:t>
      </w:r>
      <w:r w:rsidR="00464444">
        <w:t xml:space="preserve">from ultra violet radiation </w:t>
      </w:r>
      <w:r w:rsidR="0052341D">
        <w:t>(if any</w:t>
      </w:r>
      <w:r w:rsidR="00F92532">
        <w:t>) that they provide</w:t>
      </w:r>
      <w:r w:rsidR="00D652F3">
        <w:t>.</w:t>
      </w:r>
      <w:r w:rsidR="0052341D">
        <w:t xml:space="preserve"> </w:t>
      </w:r>
      <w:r w:rsidR="00D652F3">
        <w:t>T</w:t>
      </w:r>
      <w:r w:rsidR="00F92532">
        <w:t xml:space="preserve">he </w:t>
      </w:r>
      <w:r w:rsidR="0052341D">
        <w:t>business</w:t>
      </w:r>
      <w:r w:rsidR="00F92532">
        <w:t xml:space="preserve"> </w:t>
      </w:r>
      <w:r w:rsidR="00072D3B">
        <w:t>acted to correct the non-compliance</w:t>
      </w:r>
      <w:r w:rsidR="00F92532">
        <w:t xml:space="preserve"> by</w:t>
      </w:r>
      <w:r w:rsidR="0052341D">
        <w:t xml:space="preserve"> c</w:t>
      </w:r>
      <w:r w:rsidR="00F92532">
        <w:t>ontacting</w:t>
      </w:r>
      <w:r w:rsidR="0052341D">
        <w:t xml:space="preserve"> the recipients of the sunglasses to notify them of the </w:t>
      </w:r>
      <w:r w:rsidR="00F92532">
        <w:t>standard that the product met.</w:t>
      </w:r>
    </w:p>
    <w:p w:rsidR="00806682" w:rsidRDefault="00806682" w:rsidP="00806682">
      <w:r>
        <w:t>Additional products supplied in the deliveries included food products that did not meet the labellin</w:t>
      </w:r>
      <w:r w:rsidR="00BF0A92">
        <w:t>g requirements of the Australia</w:t>
      </w:r>
      <w:r>
        <w:t xml:space="preserve"> New Zealand Food Standards Code and one cosmetic product claiming to contain part of a </w:t>
      </w:r>
      <w:r w:rsidR="006B35AE">
        <w:t>plant</w:t>
      </w:r>
      <w:r>
        <w:t xml:space="preserve"> listed </w:t>
      </w:r>
      <w:r w:rsidR="006B35AE">
        <w:t>in the C</w:t>
      </w:r>
      <w:r w:rsidR="006B35AE" w:rsidRPr="006B35AE">
        <w:t>onvention on International Trade in Endangered Species of Wild Fauna and Flora</w:t>
      </w:r>
      <w:r w:rsidR="006B35AE">
        <w:t xml:space="preserve"> (CITES)</w:t>
      </w:r>
      <w:r>
        <w:t>. These matters were referred to the relevant authorities for consideration.</w:t>
      </w:r>
    </w:p>
    <w:p w:rsidR="00A27245" w:rsidRDefault="00A27245" w:rsidP="006F0A64">
      <w:pPr>
        <w:pStyle w:val="Numbered1"/>
      </w:pPr>
      <w:bookmarkStart w:id="13" w:name="_Toc430695251"/>
      <w:r>
        <w:t>Conclusion</w:t>
      </w:r>
      <w:bookmarkEnd w:id="13"/>
    </w:p>
    <w:p w:rsidR="00287E57" w:rsidRDefault="00072D3B" w:rsidP="00806682">
      <w:r>
        <w:t>At the beginning of this survey non-compliance with the requirements of the Mandatory Standard was a significant probl</w:t>
      </w:r>
      <w:r w:rsidR="00287E57">
        <w:t>em across the sector</w:t>
      </w:r>
      <w:r w:rsidR="00251F7C">
        <w:t>,</w:t>
      </w:r>
      <w:r w:rsidR="00287E57">
        <w:t xml:space="preserve"> as all eight Australian cosmetic subscription services </w:t>
      </w:r>
      <w:r w:rsidR="000B58EE">
        <w:t xml:space="preserve">surveyed </w:t>
      </w:r>
      <w:r w:rsidR="00287E57">
        <w:t xml:space="preserve">supplied boxes with one or more cosmetics without </w:t>
      </w:r>
      <w:r w:rsidR="00FC39E3">
        <w:t xml:space="preserve">adequate </w:t>
      </w:r>
      <w:r w:rsidR="00287E57">
        <w:t>ingredient lists.</w:t>
      </w:r>
    </w:p>
    <w:p w:rsidR="000B58EE" w:rsidRDefault="00287E57" w:rsidP="00806682">
      <w:r>
        <w:t>As a result of the</w:t>
      </w:r>
      <w:r w:rsidR="005673AD">
        <w:t xml:space="preserve"> ACCC intervention, t</w:t>
      </w:r>
      <w:r w:rsidR="00072D3B">
        <w:t>he</w:t>
      </w:r>
      <w:r w:rsidR="000B58EE">
        <w:t xml:space="preserve"> surveyed </w:t>
      </w:r>
      <w:r w:rsidR="00072D3B">
        <w:t>businesses</w:t>
      </w:r>
      <w:r w:rsidR="00D21BBA">
        <w:t xml:space="preserve"> now understand </w:t>
      </w:r>
      <w:r w:rsidR="004D2A50">
        <w:t xml:space="preserve">the </w:t>
      </w:r>
      <w:r w:rsidR="00D21BBA">
        <w:t>requirements of the Mandatory Standard</w:t>
      </w:r>
      <w:r w:rsidR="000B58EE">
        <w:t xml:space="preserve"> and gave commitments to meet their obligations to comply.</w:t>
      </w:r>
      <w:r w:rsidR="00251F7C">
        <w:t xml:space="preserve"> </w:t>
      </w:r>
      <w:r w:rsidR="000B58EE">
        <w:t xml:space="preserve">All surveyed businesses supplied at least one compliant delivery by the </w:t>
      </w:r>
      <w:r w:rsidR="00C977C4">
        <w:t xml:space="preserve">conclusion of the </w:t>
      </w:r>
      <w:r w:rsidR="000B58EE">
        <w:t>survey.</w:t>
      </w:r>
    </w:p>
    <w:p w:rsidR="000E3A2E" w:rsidRDefault="00953AC4" w:rsidP="00806682">
      <w:r>
        <w:t xml:space="preserve">The impact of this survey </w:t>
      </w:r>
      <w:r w:rsidR="000B58EE">
        <w:t xml:space="preserve">extended </w:t>
      </w:r>
      <w:r w:rsidR="00C977C4">
        <w:t xml:space="preserve">well </w:t>
      </w:r>
      <w:r>
        <w:t>beyond the cosmetic subscription services</w:t>
      </w:r>
      <w:r w:rsidR="000B58EE">
        <w:t xml:space="preserve"> </w:t>
      </w:r>
      <w:r w:rsidR="00C977C4">
        <w:t xml:space="preserve">surveyed </w:t>
      </w:r>
      <w:r>
        <w:t xml:space="preserve">to </w:t>
      </w:r>
      <w:r w:rsidR="00C977C4">
        <w:t>over 100</w:t>
      </w:r>
      <w:r>
        <w:t xml:space="preserve"> </w:t>
      </w:r>
      <w:r w:rsidR="00C977C4">
        <w:t>cosmetic</w:t>
      </w:r>
      <w:r>
        <w:t xml:space="preserve"> </w:t>
      </w:r>
      <w:r w:rsidR="00251F7C">
        <w:t xml:space="preserve">brand owners and </w:t>
      </w:r>
      <w:r w:rsidR="000B58EE">
        <w:t>distributors</w:t>
      </w:r>
      <w:r>
        <w:t xml:space="preserve"> that they source </w:t>
      </w:r>
      <w:r w:rsidR="00251F7C">
        <w:t xml:space="preserve">products from. </w:t>
      </w:r>
      <w:r w:rsidR="00FC39E3">
        <w:t xml:space="preserve">Subscription services will advise their </w:t>
      </w:r>
      <w:r w:rsidR="00C977C4">
        <w:t xml:space="preserve">upstream </w:t>
      </w:r>
      <w:r w:rsidR="002B126C">
        <w:t xml:space="preserve">suppliers </w:t>
      </w:r>
      <w:r w:rsidR="00FC39E3">
        <w:t>to provide complaint products</w:t>
      </w:r>
      <w:r w:rsidR="00251F7C">
        <w:t>,</w:t>
      </w:r>
      <w:r w:rsidR="00FC39E3">
        <w:t xml:space="preserve"> which will further </w:t>
      </w:r>
      <w:r w:rsidR="00C977C4">
        <w:t xml:space="preserve">foster </w:t>
      </w:r>
      <w:r w:rsidR="002B126C">
        <w:t>compliance with the Mandatory S</w:t>
      </w:r>
      <w:r>
        <w:t>tandard.</w:t>
      </w:r>
      <w:bookmarkEnd w:id="4"/>
    </w:p>
    <w:p w:rsidR="00AA0043" w:rsidRDefault="007C5A17" w:rsidP="00806682">
      <w:r>
        <w:t xml:space="preserve">The ACCC will </w:t>
      </w:r>
      <w:r w:rsidR="00296B8A">
        <w:t>continue to monitor</w:t>
      </w:r>
      <w:r w:rsidR="00AA0043">
        <w:t xml:space="preserve"> the sector</w:t>
      </w:r>
      <w:r>
        <w:t xml:space="preserve"> to ensure </w:t>
      </w:r>
      <w:r w:rsidR="00296B8A">
        <w:t xml:space="preserve">ongoing </w:t>
      </w:r>
      <w:r>
        <w:t xml:space="preserve">compliance with the Mandatory </w:t>
      </w:r>
      <w:r w:rsidR="00296B8A">
        <w:t>Standard</w:t>
      </w:r>
      <w:r>
        <w:t>.</w:t>
      </w:r>
    </w:p>
    <w:p w:rsidR="00AA0043" w:rsidRDefault="00B90668" w:rsidP="00806682">
      <w:r>
        <w:br w:type="page"/>
      </w:r>
    </w:p>
    <w:p w:rsidR="00394E63" w:rsidRDefault="00394E63" w:rsidP="00B90668">
      <w:pPr>
        <w:pStyle w:val="ListParagraph"/>
        <w:numPr>
          <w:ilvl w:val="0"/>
          <w:numId w:val="35"/>
        </w:numPr>
        <w:sectPr w:rsidR="00394E63" w:rsidSect="00C06739">
          <w:footerReference w:type="default" r:id="rId12"/>
          <w:pgSz w:w="11906" w:h="16838"/>
          <w:pgMar w:top="1276" w:right="1440" w:bottom="1440" w:left="1440" w:header="708" w:footer="708" w:gutter="0"/>
          <w:pgNumType w:start="0"/>
          <w:cols w:space="708"/>
          <w:titlePg/>
          <w:docGrid w:linePitch="360"/>
        </w:sectPr>
      </w:pPr>
    </w:p>
    <w:p w:rsidR="00BE61EC" w:rsidRPr="00BE61EC" w:rsidRDefault="00BE61EC" w:rsidP="00BE61EC">
      <w:pPr>
        <w:ind w:left="360"/>
        <w:rPr>
          <w:b/>
          <w:sz w:val="24"/>
        </w:rPr>
      </w:pPr>
      <w:r w:rsidRPr="00BE61EC">
        <w:rPr>
          <w:b/>
          <w:sz w:val="24"/>
        </w:rPr>
        <w:lastRenderedPageBreak/>
        <w:t>Attachment A</w:t>
      </w:r>
    </w:p>
    <w:p w:rsidR="00BE61EC" w:rsidRDefault="00BE61EC" w:rsidP="00BE61EC">
      <w:pPr>
        <w:pStyle w:val="ListParagraph"/>
        <w:numPr>
          <w:ilvl w:val="0"/>
          <w:numId w:val="0"/>
        </w:numPr>
        <w:ind w:left="720"/>
      </w:pPr>
    </w:p>
    <w:p w:rsidR="00B90668" w:rsidRDefault="00B90668" w:rsidP="00B90668">
      <w:pPr>
        <w:pStyle w:val="ListParagraph"/>
        <w:numPr>
          <w:ilvl w:val="0"/>
          <w:numId w:val="35"/>
        </w:numPr>
      </w:pPr>
      <w:r>
        <w:t>Lust Have It! corrective email</w:t>
      </w:r>
    </w:p>
    <w:p w:rsidR="00B90668" w:rsidRDefault="00B90668" w:rsidP="00B90668">
      <w:r>
        <w:rPr>
          <w:noProof/>
          <w:lang w:eastAsia="en-AU"/>
        </w:rPr>
        <w:drawing>
          <wp:inline distT="0" distB="0" distL="0" distR="0" wp14:anchorId="6E7EC4B0" wp14:editId="104C97F7">
            <wp:extent cx="5155894" cy="6038811"/>
            <wp:effectExtent l="0" t="0" r="698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62189" cy="6046184"/>
                    </a:xfrm>
                    <a:prstGeom prst="rect">
                      <a:avLst/>
                    </a:prstGeom>
                  </pic:spPr>
                </pic:pic>
              </a:graphicData>
            </a:graphic>
          </wp:inline>
        </w:drawing>
      </w:r>
    </w:p>
    <w:p w:rsidR="00BE61EC" w:rsidRDefault="00BE61EC">
      <w:r>
        <w:br w:type="page"/>
      </w:r>
    </w:p>
    <w:p w:rsidR="00B90668" w:rsidRDefault="00B90668" w:rsidP="00B90668">
      <w:pPr>
        <w:pStyle w:val="ListParagraph"/>
        <w:numPr>
          <w:ilvl w:val="0"/>
          <w:numId w:val="35"/>
        </w:numPr>
      </w:pPr>
      <w:r>
        <w:lastRenderedPageBreak/>
        <w:t>Bellabox corrective email</w:t>
      </w:r>
    </w:p>
    <w:p w:rsidR="00B90668" w:rsidRDefault="00B90668" w:rsidP="00B90668">
      <w:r>
        <w:rPr>
          <w:noProof/>
          <w:lang w:eastAsia="en-AU"/>
        </w:rPr>
        <w:drawing>
          <wp:inline distT="0" distB="0" distL="0" distR="0" wp14:anchorId="656E9427" wp14:editId="5E368990">
            <wp:extent cx="5299113" cy="6682668"/>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01134" cy="6685216"/>
                    </a:xfrm>
                    <a:prstGeom prst="rect">
                      <a:avLst/>
                    </a:prstGeom>
                  </pic:spPr>
                </pic:pic>
              </a:graphicData>
            </a:graphic>
          </wp:inline>
        </w:drawing>
      </w:r>
    </w:p>
    <w:p w:rsidR="00BE61EC" w:rsidRDefault="00BE61EC">
      <w:r>
        <w:br w:type="page"/>
      </w:r>
    </w:p>
    <w:p w:rsidR="00B90668" w:rsidRDefault="00B90668" w:rsidP="00B90668">
      <w:pPr>
        <w:pStyle w:val="ListParagraph"/>
        <w:numPr>
          <w:ilvl w:val="0"/>
          <w:numId w:val="35"/>
        </w:numPr>
      </w:pPr>
      <w:r>
        <w:lastRenderedPageBreak/>
        <w:t>The Parcel corrective email</w:t>
      </w:r>
    </w:p>
    <w:p w:rsidR="00B90668" w:rsidRDefault="00B90668" w:rsidP="00B90668">
      <w:r>
        <w:rPr>
          <w:noProof/>
          <w:lang w:eastAsia="en-AU"/>
        </w:rPr>
        <w:drawing>
          <wp:inline distT="0" distB="0" distL="0" distR="0" wp14:anchorId="6D483AA4" wp14:editId="06FEA3E9">
            <wp:extent cx="3701667" cy="420471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04545" cy="4207984"/>
                    </a:xfrm>
                    <a:prstGeom prst="rect">
                      <a:avLst/>
                    </a:prstGeom>
                  </pic:spPr>
                </pic:pic>
              </a:graphicData>
            </a:graphic>
          </wp:inline>
        </w:drawing>
      </w:r>
    </w:p>
    <w:p w:rsidR="00B90668" w:rsidRDefault="00B90668" w:rsidP="00B90668">
      <w:pPr>
        <w:pStyle w:val="ListParagraph"/>
        <w:numPr>
          <w:ilvl w:val="0"/>
          <w:numId w:val="35"/>
        </w:numPr>
      </w:pPr>
      <w:r>
        <w:t>Violet Box</w:t>
      </w:r>
    </w:p>
    <w:p w:rsidR="00B90668" w:rsidRDefault="00B90668" w:rsidP="00B90668">
      <w:r>
        <w:rPr>
          <w:noProof/>
          <w:lang w:eastAsia="en-AU"/>
        </w:rPr>
        <w:drawing>
          <wp:inline distT="0" distB="0" distL="0" distR="0" wp14:anchorId="71E2DE8F" wp14:editId="278107A4">
            <wp:extent cx="3800819" cy="3477874"/>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03936" cy="3480726"/>
                    </a:xfrm>
                    <a:prstGeom prst="rect">
                      <a:avLst/>
                    </a:prstGeom>
                  </pic:spPr>
                </pic:pic>
              </a:graphicData>
            </a:graphic>
          </wp:inline>
        </w:drawing>
      </w:r>
    </w:p>
    <w:p w:rsidR="00B90668" w:rsidRDefault="00B90668" w:rsidP="00B90668">
      <w:r>
        <w:br w:type="page"/>
      </w:r>
    </w:p>
    <w:p w:rsidR="00B90668" w:rsidRDefault="00B90668" w:rsidP="00B90668">
      <w:pPr>
        <w:pStyle w:val="ListParagraph"/>
        <w:numPr>
          <w:ilvl w:val="0"/>
          <w:numId w:val="35"/>
        </w:numPr>
      </w:pPr>
      <w:r>
        <w:lastRenderedPageBreak/>
        <w:t>Her Fashion Box</w:t>
      </w:r>
    </w:p>
    <w:p w:rsidR="00B90668" w:rsidRDefault="00B90668" w:rsidP="00B90668">
      <w:r>
        <w:rPr>
          <w:noProof/>
          <w:lang w:eastAsia="en-AU"/>
        </w:rPr>
        <w:drawing>
          <wp:inline distT="0" distB="0" distL="0" distR="0" wp14:anchorId="1C0EE371" wp14:editId="023816C2">
            <wp:extent cx="2261478" cy="8460954"/>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61478" cy="8460954"/>
                    </a:xfrm>
                    <a:prstGeom prst="rect">
                      <a:avLst/>
                    </a:prstGeom>
                  </pic:spPr>
                </pic:pic>
              </a:graphicData>
            </a:graphic>
          </wp:inline>
        </w:drawing>
      </w:r>
    </w:p>
    <w:p w:rsidR="006F0A64" w:rsidRDefault="006F0A64" w:rsidP="006F0A64">
      <w:pPr>
        <w:rPr>
          <w:b/>
          <w:sz w:val="24"/>
        </w:rPr>
      </w:pPr>
      <w:r w:rsidRPr="00BE61EC">
        <w:rPr>
          <w:b/>
          <w:sz w:val="24"/>
        </w:rPr>
        <w:lastRenderedPageBreak/>
        <w:t>Attachment B</w:t>
      </w:r>
    </w:p>
    <w:p w:rsidR="00BE61EC" w:rsidRPr="00BE61EC" w:rsidRDefault="00BE61EC" w:rsidP="006F0A64">
      <w:pPr>
        <w:rPr>
          <w:b/>
          <w:sz w:val="24"/>
        </w:rPr>
      </w:pPr>
    </w:p>
    <w:p w:rsidR="006F0A64" w:rsidRDefault="006F0A64" w:rsidP="006F0A64">
      <w:pPr>
        <w:pStyle w:val="ListParagraph"/>
        <w:numPr>
          <w:ilvl w:val="0"/>
          <w:numId w:val="36"/>
        </w:numPr>
      </w:pPr>
      <w:r>
        <w:t>Bellabox – sample ingredient card to be delivered with boxes.</w:t>
      </w:r>
    </w:p>
    <w:p w:rsidR="006F0A64" w:rsidRDefault="006F0A64" w:rsidP="006F0A64">
      <w:r>
        <w:rPr>
          <w:noProof/>
          <w:lang w:eastAsia="en-AU"/>
        </w:rPr>
        <w:drawing>
          <wp:inline distT="0" distB="0" distL="0" distR="0" wp14:anchorId="7F691096" wp14:editId="7CAE54CE">
            <wp:extent cx="5731510" cy="39065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906520"/>
                    </a:xfrm>
                    <a:prstGeom prst="rect">
                      <a:avLst/>
                    </a:prstGeom>
                    <a:noFill/>
                    <a:ln>
                      <a:noFill/>
                    </a:ln>
                  </pic:spPr>
                </pic:pic>
              </a:graphicData>
            </a:graphic>
          </wp:inline>
        </w:drawing>
      </w:r>
    </w:p>
    <w:p w:rsidR="006F0A64" w:rsidRDefault="006F0A64" w:rsidP="006F0A64">
      <w:pPr>
        <w:pStyle w:val="ListParagraph"/>
        <w:numPr>
          <w:ilvl w:val="0"/>
          <w:numId w:val="36"/>
        </w:numPr>
      </w:pPr>
      <w:r>
        <w:t>The Parcel by Marie Claire – supplementary card with ingredient lists</w:t>
      </w:r>
    </w:p>
    <w:p w:rsidR="006F0A64" w:rsidRPr="00A67AD2" w:rsidRDefault="006F0A64" w:rsidP="006F0A64">
      <w:pPr>
        <w:jc w:val="center"/>
      </w:pPr>
      <w:r>
        <w:rPr>
          <w:noProof/>
          <w:lang w:eastAsia="en-AU"/>
        </w:rPr>
        <w:drawing>
          <wp:inline distT="0" distB="0" distL="0" distR="0" wp14:anchorId="46F86EE0" wp14:editId="43C273F2">
            <wp:extent cx="5414450" cy="2941504"/>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7039" cy="2942910"/>
                    </a:xfrm>
                    <a:prstGeom prst="rect">
                      <a:avLst/>
                    </a:prstGeom>
                    <a:noFill/>
                    <a:extLst/>
                  </pic:spPr>
                </pic:pic>
              </a:graphicData>
            </a:graphic>
          </wp:inline>
        </w:drawing>
      </w:r>
    </w:p>
    <w:p w:rsidR="00B90668" w:rsidRPr="00806682" w:rsidRDefault="00B90668" w:rsidP="00806682"/>
    <w:sectPr w:rsidR="00B90668" w:rsidRPr="00806682" w:rsidSect="00C06739">
      <w:pgSz w:w="11906" w:h="16838"/>
      <w:pgMar w:top="1276"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149B" w:rsidRDefault="00B7149B" w:rsidP="004B4412">
      <w:pPr>
        <w:spacing w:before="0"/>
      </w:pPr>
      <w:r>
        <w:separator/>
      </w:r>
    </w:p>
  </w:endnote>
  <w:endnote w:type="continuationSeparator" w:id="0">
    <w:p w:rsidR="00B7149B" w:rsidRDefault="00B7149B"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45 Light">
    <w:altName w:val="Univers 45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A2E" w:rsidRPr="000E3A2E" w:rsidRDefault="000E3A2E" w:rsidP="000E3A2E">
    <w:pPr>
      <w:tabs>
        <w:tab w:val="center" w:pos="4513"/>
        <w:tab w:val="right" w:pos="8505"/>
      </w:tabs>
      <w:spacing w:after="120" w:line="276" w:lineRule="auto"/>
      <w:rPr>
        <w:color w:val="51626F" w:themeColor="accent1"/>
        <w:sz w:val="18"/>
      </w:rPr>
    </w:pPr>
    <w:r w:rsidRPr="000E3A2E">
      <w:rPr>
        <w:color w:val="51626F" w:themeColor="accent1"/>
        <w:sz w:val="18"/>
      </w:rPr>
      <w:fldChar w:fldCharType="begin"/>
    </w:r>
    <w:r w:rsidRPr="000E3A2E">
      <w:rPr>
        <w:color w:val="51626F" w:themeColor="accent1"/>
        <w:sz w:val="18"/>
      </w:rPr>
      <w:instrText xml:space="preserve"> STYLEREF  Title  \* MERGEFORMAT </w:instrText>
    </w:r>
    <w:r w:rsidRPr="000E3A2E">
      <w:rPr>
        <w:color w:val="51626F" w:themeColor="accent1"/>
        <w:sz w:val="18"/>
      </w:rPr>
      <w:fldChar w:fldCharType="separate"/>
    </w:r>
    <w:r w:rsidR="00E81906">
      <w:rPr>
        <w:noProof/>
        <w:color w:val="51626F" w:themeColor="accent1"/>
        <w:sz w:val="18"/>
      </w:rPr>
      <w:t>Cosmetic Subscription Services Survey</w:t>
    </w:r>
    <w:r w:rsidRPr="000E3A2E">
      <w:rPr>
        <w:noProof/>
        <w:color w:val="51626F" w:themeColor="accent1"/>
        <w:sz w:val="18"/>
      </w:rPr>
      <w:fldChar w:fldCharType="end"/>
    </w:r>
    <w:r w:rsidRPr="000E3A2E">
      <w:rPr>
        <w:color w:val="51626F" w:themeColor="accent1"/>
        <w:sz w:val="18"/>
      </w:rPr>
      <w:tab/>
    </w:r>
    <w:r w:rsidRPr="000E3A2E">
      <w:rPr>
        <w:color w:val="51626F" w:themeColor="accent1"/>
        <w:sz w:val="18"/>
      </w:rPr>
      <w:tab/>
    </w:r>
    <w:r w:rsidRPr="000E3A2E">
      <w:rPr>
        <w:color w:val="51626F" w:themeColor="accent1"/>
        <w:sz w:val="18"/>
      </w:rPr>
      <w:fldChar w:fldCharType="begin"/>
    </w:r>
    <w:r w:rsidRPr="000E3A2E">
      <w:rPr>
        <w:color w:val="51626F" w:themeColor="accent1"/>
        <w:sz w:val="18"/>
      </w:rPr>
      <w:instrText xml:space="preserve"> PAGE   \* MERGEFORMAT </w:instrText>
    </w:r>
    <w:r w:rsidRPr="000E3A2E">
      <w:rPr>
        <w:color w:val="51626F" w:themeColor="accent1"/>
        <w:sz w:val="18"/>
      </w:rPr>
      <w:fldChar w:fldCharType="separate"/>
    </w:r>
    <w:r w:rsidR="00E81906">
      <w:rPr>
        <w:noProof/>
        <w:color w:val="51626F" w:themeColor="accent1"/>
        <w:sz w:val="18"/>
      </w:rPr>
      <w:t>4</w:t>
    </w:r>
    <w:r w:rsidRPr="000E3A2E">
      <w:rPr>
        <w:color w:val="51626F" w:themeColor="accent1"/>
        <w:sz w:val="18"/>
      </w:rPr>
      <w:fldChar w:fldCharType="end"/>
    </w:r>
  </w:p>
  <w:p w:rsidR="000E3A2E" w:rsidRPr="000E3A2E" w:rsidRDefault="000E3A2E" w:rsidP="000E3A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149B" w:rsidRDefault="00B7149B" w:rsidP="004B4412">
      <w:pPr>
        <w:spacing w:before="0"/>
      </w:pPr>
      <w:r>
        <w:separator/>
      </w:r>
    </w:p>
  </w:footnote>
  <w:footnote w:type="continuationSeparator" w:id="0">
    <w:p w:rsidR="00B7149B" w:rsidRDefault="00B7149B" w:rsidP="004B4412">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4BEAAD6"/>
    <w:lvl w:ilvl="0">
      <w:start w:val="1"/>
      <w:numFmt w:val="decimal"/>
      <w:pStyle w:val="ListNumber5"/>
      <w:lvlText w:val="%1."/>
      <w:lvlJc w:val="left"/>
      <w:pPr>
        <w:ind w:left="1701" w:hanging="340"/>
      </w:pPr>
      <w:rPr>
        <w:rFonts w:hint="default"/>
      </w:rPr>
    </w:lvl>
  </w:abstractNum>
  <w:abstractNum w:abstractNumId="1">
    <w:nsid w:val="FFFFFF7D"/>
    <w:multiLevelType w:val="singleLevel"/>
    <w:tmpl w:val="33EA20A0"/>
    <w:lvl w:ilvl="0">
      <w:start w:val="1"/>
      <w:numFmt w:val="decimal"/>
      <w:pStyle w:val="ListNumber4"/>
      <w:lvlText w:val="%1."/>
      <w:lvlJc w:val="left"/>
      <w:pPr>
        <w:ind w:left="1361" w:hanging="340"/>
      </w:pPr>
      <w:rPr>
        <w:rFonts w:hint="default"/>
      </w:rPr>
    </w:lvl>
  </w:abstractNum>
  <w:abstractNum w:abstractNumId="2">
    <w:nsid w:val="FFFFFF7E"/>
    <w:multiLevelType w:val="singleLevel"/>
    <w:tmpl w:val="91FCDF1E"/>
    <w:lvl w:ilvl="0">
      <w:start w:val="1"/>
      <w:numFmt w:val="decimal"/>
      <w:pStyle w:val="ListNumber3"/>
      <w:lvlText w:val="%1."/>
      <w:lvlJc w:val="left"/>
      <w:pPr>
        <w:ind w:left="1021" w:hanging="341"/>
      </w:pPr>
      <w:rPr>
        <w:rFonts w:hint="default"/>
      </w:rPr>
    </w:lvl>
  </w:abstractNum>
  <w:abstractNum w:abstractNumId="3">
    <w:nsid w:val="FFFFFF7F"/>
    <w:multiLevelType w:val="singleLevel"/>
    <w:tmpl w:val="C1DEEDE0"/>
    <w:lvl w:ilvl="0">
      <w:start w:val="1"/>
      <w:numFmt w:val="decimal"/>
      <w:pStyle w:val="ListNumber2"/>
      <w:lvlText w:val="%1."/>
      <w:lvlJc w:val="left"/>
      <w:pPr>
        <w:ind w:left="680" w:hanging="340"/>
      </w:pPr>
      <w:rPr>
        <w:rFonts w:hint="default"/>
      </w:r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2BC9528"/>
    <w:lvl w:ilvl="0">
      <w:start w:val="1"/>
      <w:numFmt w:val="decimal"/>
      <w:pStyle w:val="ListNumber"/>
      <w:lvlText w:val="%1."/>
      <w:lvlJc w:val="left"/>
      <w:pPr>
        <w:tabs>
          <w:tab w:val="num" w:pos="340"/>
        </w:tabs>
        <w:ind w:left="340" w:hanging="340"/>
      </w:pPr>
      <w:rPr>
        <w:rFonts w:hint="default"/>
      </w:rPr>
    </w:lvl>
  </w:abstractNum>
  <w:abstractNum w:abstractNumId="9">
    <w:nsid w:val="0DD2542B"/>
    <w:multiLevelType w:val="hybridMultilevel"/>
    <w:tmpl w:val="7C60E1FC"/>
    <w:lvl w:ilvl="0" w:tplc="021E8868">
      <w:start w:val="1"/>
      <w:numFmt w:val="decimal"/>
      <w:pStyle w:val="ListParagraph"/>
      <w:lvlText w:val="%1."/>
      <w:lvlJc w:val="left"/>
      <w:pPr>
        <w:ind w:left="340" w:hanging="34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1">
    <w:nsid w:val="16C66F44"/>
    <w:multiLevelType w:val="hybridMultilevel"/>
    <w:tmpl w:val="4ED4762C"/>
    <w:lvl w:ilvl="0" w:tplc="78E8CC60">
      <w:start w:val="1"/>
      <w:numFmt w:val="lowerRoman"/>
      <w:pStyle w:val="ListLegal5"/>
      <w:lvlText w:val="%1."/>
      <w:lvlJc w:val="right"/>
      <w:pPr>
        <w:ind w:left="2041" w:hanging="34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12">
    <w:nsid w:val="1C691564"/>
    <w:multiLevelType w:val="hybridMultilevel"/>
    <w:tmpl w:val="F962EB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CF519CE"/>
    <w:multiLevelType w:val="multilevel"/>
    <w:tmpl w:val="65B8C7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4">
    <w:nsid w:val="34B82394"/>
    <w:multiLevelType w:val="hybridMultilevel"/>
    <w:tmpl w:val="546ADF06"/>
    <w:lvl w:ilvl="0" w:tplc="403EE442">
      <w:start w:val="1"/>
      <w:numFmt w:val="lowerLetter"/>
      <w:pStyle w:val="Listalphabet3"/>
      <w:lvlText w:val="(%1)"/>
      <w:lvlJc w:val="lef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5">
    <w:nsid w:val="34E31A83"/>
    <w:multiLevelType w:val="multilevel"/>
    <w:tmpl w:val="91FCDF1E"/>
    <w:lvl w:ilvl="0">
      <w:start w:val="1"/>
      <w:numFmt w:val="decimal"/>
      <w:lvlText w:val="%1."/>
      <w:lvlJc w:val="left"/>
      <w:pPr>
        <w:ind w:left="1021" w:hanging="341"/>
      </w:pPr>
      <w:rPr>
        <w:rFonts w:ascii="Arial" w:hAnsi="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6AB0989"/>
    <w:multiLevelType w:val="hybridMultilevel"/>
    <w:tmpl w:val="4DF62DEA"/>
    <w:lvl w:ilvl="0" w:tplc="83689BEE">
      <w:start w:val="1"/>
      <w:numFmt w:val="lowerLetter"/>
      <w:pStyle w:val="Listalphabet2"/>
      <w:lvlText w:val="(%1)"/>
      <w:lvlJc w:val="left"/>
      <w:pPr>
        <w:ind w:left="680" w:hanging="340"/>
      </w:pPr>
      <w:rPr>
        <w:rFonts w:hint="default"/>
      </w:r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17">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CF07D5F"/>
    <w:multiLevelType w:val="hybridMultilevel"/>
    <w:tmpl w:val="D6DC675A"/>
    <w:lvl w:ilvl="0" w:tplc="6C6CF7F2">
      <w:start w:val="1"/>
      <w:numFmt w:val="lowerLetter"/>
      <w:pStyle w:val="Listalphabet4"/>
      <w:lvlText w:val="(%1)"/>
      <w:lvlJc w:val="left"/>
      <w:pPr>
        <w:ind w:left="1361" w:hanging="340"/>
      </w:pPr>
      <w:rPr>
        <w:rFonts w:hint="default"/>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19">
    <w:nsid w:val="413308F7"/>
    <w:multiLevelType w:val="hybridMultilevel"/>
    <w:tmpl w:val="E250D6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9E52C90"/>
    <w:multiLevelType w:val="hybridMultilevel"/>
    <w:tmpl w:val="CBAC43EA"/>
    <w:lvl w:ilvl="0" w:tplc="F8C681F8">
      <w:start w:val="1"/>
      <w:numFmt w:val="lowerRoman"/>
      <w:pStyle w:val="ListLegal"/>
      <w:lvlText w:val="%1."/>
      <w:lvlJc w:val="right"/>
      <w:pPr>
        <w:ind w:left="68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2">
    <w:nsid w:val="61124A8F"/>
    <w:multiLevelType w:val="hybridMultilevel"/>
    <w:tmpl w:val="65447B5C"/>
    <w:lvl w:ilvl="0" w:tplc="F77037F0">
      <w:start w:val="1"/>
      <w:numFmt w:val="lowerLetter"/>
      <w:pStyle w:val="Listalphabet"/>
      <w:lvlText w:val="(%1)"/>
      <w:lvlJc w:val="left"/>
      <w:pPr>
        <w:ind w:left="340" w:hanging="34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66DC52CE"/>
    <w:multiLevelType w:val="multilevel"/>
    <w:tmpl w:val="F8CC5C92"/>
    <w:lvl w:ilvl="0">
      <w:start w:val="1"/>
      <w:numFmt w:val="decimal"/>
      <w:pStyle w:val="Heading9"/>
      <w:lvlText w:val="Table %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5">
    <w:nsid w:val="6E3A771D"/>
    <w:multiLevelType w:val="multilevel"/>
    <w:tmpl w:val="5986F30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71052EFE"/>
    <w:multiLevelType w:val="hybridMultilevel"/>
    <w:tmpl w:val="638C8810"/>
    <w:lvl w:ilvl="0" w:tplc="E1922DFC">
      <w:start w:val="1"/>
      <w:numFmt w:val="lowerRoman"/>
      <w:pStyle w:val="ListLegal3"/>
      <w:lvlText w:val="%1."/>
      <w:lvlJc w:val="right"/>
      <w:pPr>
        <w:ind w:left="1361" w:hanging="341"/>
      </w:pPr>
      <w:rPr>
        <w:rFonts w:hint="default"/>
      </w:rPr>
    </w:lvl>
    <w:lvl w:ilvl="1" w:tplc="0C090019">
      <w:start w:val="1"/>
      <w:numFmt w:val="lowerLetter"/>
      <w:lvlText w:val="%2."/>
      <w:lvlJc w:val="left"/>
      <w:pPr>
        <w:ind w:left="2100" w:hanging="360"/>
      </w:pPr>
    </w:lvl>
    <w:lvl w:ilvl="2" w:tplc="0C09001B" w:tentative="1">
      <w:start w:val="1"/>
      <w:numFmt w:val="lowerRoman"/>
      <w:lvlText w:val="%3."/>
      <w:lvlJc w:val="right"/>
      <w:pPr>
        <w:ind w:left="2820" w:hanging="180"/>
      </w:pPr>
    </w:lvl>
    <w:lvl w:ilvl="3" w:tplc="0C09000F" w:tentative="1">
      <w:start w:val="1"/>
      <w:numFmt w:val="decimal"/>
      <w:lvlText w:val="%4."/>
      <w:lvlJc w:val="left"/>
      <w:pPr>
        <w:ind w:left="3540" w:hanging="360"/>
      </w:pPr>
    </w:lvl>
    <w:lvl w:ilvl="4" w:tplc="0C090019" w:tentative="1">
      <w:start w:val="1"/>
      <w:numFmt w:val="lowerLetter"/>
      <w:lvlText w:val="%5."/>
      <w:lvlJc w:val="left"/>
      <w:pPr>
        <w:ind w:left="4260" w:hanging="360"/>
      </w:pPr>
    </w:lvl>
    <w:lvl w:ilvl="5" w:tplc="0C09001B" w:tentative="1">
      <w:start w:val="1"/>
      <w:numFmt w:val="lowerRoman"/>
      <w:lvlText w:val="%6."/>
      <w:lvlJc w:val="right"/>
      <w:pPr>
        <w:ind w:left="4980" w:hanging="180"/>
      </w:pPr>
    </w:lvl>
    <w:lvl w:ilvl="6" w:tplc="0C09000F" w:tentative="1">
      <w:start w:val="1"/>
      <w:numFmt w:val="decimal"/>
      <w:lvlText w:val="%7."/>
      <w:lvlJc w:val="left"/>
      <w:pPr>
        <w:ind w:left="5700" w:hanging="360"/>
      </w:pPr>
    </w:lvl>
    <w:lvl w:ilvl="7" w:tplc="0C090019" w:tentative="1">
      <w:start w:val="1"/>
      <w:numFmt w:val="lowerLetter"/>
      <w:lvlText w:val="%8."/>
      <w:lvlJc w:val="left"/>
      <w:pPr>
        <w:ind w:left="6420" w:hanging="360"/>
      </w:pPr>
    </w:lvl>
    <w:lvl w:ilvl="8" w:tplc="0C09001B" w:tentative="1">
      <w:start w:val="1"/>
      <w:numFmt w:val="lowerRoman"/>
      <w:lvlText w:val="%9."/>
      <w:lvlJc w:val="right"/>
      <w:pPr>
        <w:ind w:left="7140" w:hanging="180"/>
      </w:pPr>
    </w:lvl>
  </w:abstractNum>
  <w:abstractNum w:abstractNumId="27">
    <w:nsid w:val="73F84B72"/>
    <w:multiLevelType w:val="hybridMultilevel"/>
    <w:tmpl w:val="CDC0D9C4"/>
    <w:lvl w:ilvl="0" w:tplc="6C5C8C5A">
      <w:start w:val="1"/>
      <w:numFmt w:val="lowerLetter"/>
      <w:pStyle w:val="Listalphabet5"/>
      <w:lvlText w:val="(%1)"/>
      <w:lvlJc w:val="left"/>
      <w:pPr>
        <w:ind w:left="1701" w:hanging="341"/>
      </w:pPr>
      <w:rPr>
        <w:rFonts w:hint="default"/>
      </w:rPr>
    </w:lvl>
    <w:lvl w:ilvl="1" w:tplc="0C090019" w:tentative="1">
      <w:start w:val="1"/>
      <w:numFmt w:val="lowerLetter"/>
      <w:lvlText w:val="%2."/>
      <w:lvlJc w:val="left"/>
      <w:pPr>
        <w:ind w:left="2440" w:hanging="360"/>
      </w:pPr>
    </w:lvl>
    <w:lvl w:ilvl="2" w:tplc="0C09001B" w:tentative="1">
      <w:start w:val="1"/>
      <w:numFmt w:val="lowerRoman"/>
      <w:lvlText w:val="%3."/>
      <w:lvlJc w:val="right"/>
      <w:pPr>
        <w:ind w:left="3160" w:hanging="180"/>
      </w:pPr>
    </w:lvl>
    <w:lvl w:ilvl="3" w:tplc="0C09000F" w:tentative="1">
      <w:start w:val="1"/>
      <w:numFmt w:val="decimal"/>
      <w:lvlText w:val="%4."/>
      <w:lvlJc w:val="left"/>
      <w:pPr>
        <w:ind w:left="3880" w:hanging="360"/>
      </w:pPr>
    </w:lvl>
    <w:lvl w:ilvl="4" w:tplc="0C090019" w:tentative="1">
      <w:start w:val="1"/>
      <w:numFmt w:val="lowerLetter"/>
      <w:lvlText w:val="%5."/>
      <w:lvlJc w:val="left"/>
      <w:pPr>
        <w:ind w:left="4600" w:hanging="360"/>
      </w:pPr>
    </w:lvl>
    <w:lvl w:ilvl="5" w:tplc="0C09001B" w:tentative="1">
      <w:start w:val="1"/>
      <w:numFmt w:val="lowerRoman"/>
      <w:lvlText w:val="%6."/>
      <w:lvlJc w:val="right"/>
      <w:pPr>
        <w:ind w:left="5320" w:hanging="180"/>
      </w:pPr>
    </w:lvl>
    <w:lvl w:ilvl="6" w:tplc="0C09000F" w:tentative="1">
      <w:start w:val="1"/>
      <w:numFmt w:val="decimal"/>
      <w:lvlText w:val="%7."/>
      <w:lvlJc w:val="left"/>
      <w:pPr>
        <w:ind w:left="6040" w:hanging="360"/>
      </w:pPr>
    </w:lvl>
    <w:lvl w:ilvl="7" w:tplc="0C090019" w:tentative="1">
      <w:start w:val="1"/>
      <w:numFmt w:val="lowerLetter"/>
      <w:lvlText w:val="%8."/>
      <w:lvlJc w:val="left"/>
      <w:pPr>
        <w:ind w:left="6760" w:hanging="360"/>
      </w:pPr>
    </w:lvl>
    <w:lvl w:ilvl="8" w:tplc="0C09001B" w:tentative="1">
      <w:start w:val="1"/>
      <w:numFmt w:val="lowerRoman"/>
      <w:lvlText w:val="%9."/>
      <w:lvlJc w:val="right"/>
      <w:pPr>
        <w:ind w:left="7480" w:hanging="180"/>
      </w:pPr>
    </w:lvl>
  </w:abstractNum>
  <w:abstractNum w:abstractNumId="28">
    <w:nsid w:val="760C7082"/>
    <w:multiLevelType w:val="hybridMultilevel"/>
    <w:tmpl w:val="C9D6B284"/>
    <w:lvl w:ilvl="0" w:tplc="A9080AEA">
      <w:start w:val="1"/>
      <w:numFmt w:val="lowerRoman"/>
      <w:pStyle w:val="ListLegal4"/>
      <w:lvlText w:val="%1."/>
      <w:lvlJc w:val="right"/>
      <w:pPr>
        <w:ind w:left="1701" w:hanging="340"/>
      </w:pPr>
      <w:rPr>
        <w:rFonts w:hint="default"/>
      </w:rPr>
    </w:lvl>
    <w:lvl w:ilvl="1" w:tplc="0C090019" w:tentative="1">
      <w:start w:val="1"/>
      <w:numFmt w:val="lowerLetter"/>
      <w:lvlText w:val="%2."/>
      <w:lvlJc w:val="left"/>
      <w:pPr>
        <w:ind w:left="2441" w:hanging="360"/>
      </w:pPr>
    </w:lvl>
    <w:lvl w:ilvl="2" w:tplc="0C09001B" w:tentative="1">
      <w:start w:val="1"/>
      <w:numFmt w:val="lowerRoman"/>
      <w:lvlText w:val="%3."/>
      <w:lvlJc w:val="right"/>
      <w:pPr>
        <w:ind w:left="3161" w:hanging="180"/>
      </w:pPr>
    </w:lvl>
    <w:lvl w:ilvl="3" w:tplc="0C09000F" w:tentative="1">
      <w:start w:val="1"/>
      <w:numFmt w:val="decimal"/>
      <w:lvlText w:val="%4."/>
      <w:lvlJc w:val="left"/>
      <w:pPr>
        <w:ind w:left="3881" w:hanging="360"/>
      </w:pPr>
    </w:lvl>
    <w:lvl w:ilvl="4" w:tplc="0C090019" w:tentative="1">
      <w:start w:val="1"/>
      <w:numFmt w:val="lowerLetter"/>
      <w:lvlText w:val="%5."/>
      <w:lvlJc w:val="left"/>
      <w:pPr>
        <w:ind w:left="4601" w:hanging="360"/>
      </w:pPr>
    </w:lvl>
    <w:lvl w:ilvl="5" w:tplc="0C09001B" w:tentative="1">
      <w:start w:val="1"/>
      <w:numFmt w:val="lowerRoman"/>
      <w:lvlText w:val="%6."/>
      <w:lvlJc w:val="right"/>
      <w:pPr>
        <w:ind w:left="5321" w:hanging="180"/>
      </w:pPr>
    </w:lvl>
    <w:lvl w:ilvl="6" w:tplc="0C09000F" w:tentative="1">
      <w:start w:val="1"/>
      <w:numFmt w:val="decimal"/>
      <w:lvlText w:val="%7."/>
      <w:lvlJc w:val="left"/>
      <w:pPr>
        <w:ind w:left="6041" w:hanging="360"/>
      </w:pPr>
    </w:lvl>
    <w:lvl w:ilvl="7" w:tplc="0C090019" w:tentative="1">
      <w:start w:val="1"/>
      <w:numFmt w:val="lowerLetter"/>
      <w:lvlText w:val="%8."/>
      <w:lvlJc w:val="left"/>
      <w:pPr>
        <w:ind w:left="6761" w:hanging="360"/>
      </w:pPr>
    </w:lvl>
    <w:lvl w:ilvl="8" w:tplc="0C09001B" w:tentative="1">
      <w:start w:val="1"/>
      <w:numFmt w:val="lowerRoman"/>
      <w:lvlText w:val="%9."/>
      <w:lvlJc w:val="right"/>
      <w:pPr>
        <w:ind w:left="7481" w:hanging="180"/>
      </w:pPr>
    </w:lvl>
  </w:abstractNum>
  <w:abstractNum w:abstractNumId="29">
    <w:nsid w:val="7ACB7F6B"/>
    <w:multiLevelType w:val="hybridMultilevel"/>
    <w:tmpl w:val="0F2A3F9A"/>
    <w:lvl w:ilvl="0" w:tplc="1038B32C">
      <w:start w:val="1"/>
      <w:numFmt w:val="lowerRoman"/>
      <w:pStyle w:val="ListLegal2"/>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0">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0"/>
  </w:num>
  <w:num w:numId="2">
    <w:abstractNumId w:val="30"/>
  </w:num>
  <w:num w:numId="3">
    <w:abstractNumId w:val="7"/>
  </w:num>
  <w:num w:numId="4">
    <w:abstractNumId w:val="6"/>
  </w:num>
  <w:num w:numId="5">
    <w:abstractNumId w:val="5"/>
  </w:num>
  <w:num w:numId="6">
    <w:abstractNumId w:val="4"/>
  </w:num>
  <w:num w:numId="7">
    <w:abstractNumId w:val="1"/>
  </w:num>
  <w:num w:numId="8">
    <w:abstractNumId w:val="0"/>
  </w:num>
  <w:num w:numId="9">
    <w:abstractNumId w:val="24"/>
  </w:num>
  <w:num w:numId="10">
    <w:abstractNumId w:val="17"/>
  </w:num>
  <w:num w:numId="11">
    <w:abstractNumId w:val="9"/>
  </w:num>
  <w:num w:numId="12">
    <w:abstractNumId w:val="13"/>
  </w:num>
  <w:num w:numId="13">
    <w:abstractNumId w:val="16"/>
  </w:num>
  <w:num w:numId="14">
    <w:abstractNumId w:val="2"/>
  </w:num>
  <w:num w:numId="15">
    <w:abstractNumId w:val="26"/>
  </w:num>
  <w:num w:numId="16">
    <w:abstractNumId w:val="29"/>
  </w:num>
  <w:num w:numId="17">
    <w:abstractNumId w:val="28"/>
  </w:num>
  <w:num w:numId="18">
    <w:abstractNumId w:val="21"/>
  </w:num>
  <w:num w:numId="19">
    <w:abstractNumId w:val="14"/>
  </w:num>
  <w:num w:numId="20">
    <w:abstractNumId w:val="18"/>
  </w:num>
  <w:num w:numId="21">
    <w:abstractNumId w:val="27"/>
  </w:num>
  <w:num w:numId="22">
    <w:abstractNumId w:val="22"/>
  </w:num>
  <w:num w:numId="23">
    <w:abstractNumId w:val="8"/>
  </w:num>
  <w:num w:numId="24">
    <w:abstractNumId w:val="3"/>
  </w:num>
  <w:num w:numId="25">
    <w:abstractNumId w:val="20"/>
  </w:num>
  <w:num w:numId="26">
    <w:abstractNumId w:val="11"/>
  </w:num>
  <w:num w:numId="27">
    <w:abstractNumId w:val="23"/>
  </w:num>
  <w:num w:numId="28">
    <w:abstractNumId w:val="22"/>
    <w:lvlOverride w:ilvl="0">
      <w:startOverride w:val="1"/>
    </w:lvlOverride>
  </w:num>
  <w:num w:numId="29">
    <w:abstractNumId w:val="16"/>
    <w:lvlOverride w:ilvl="0">
      <w:startOverride w:val="1"/>
    </w:lvlOverride>
  </w:num>
  <w:num w:numId="30">
    <w:abstractNumId w:val="16"/>
    <w:lvlOverride w:ilvl="0">
      <w:startOverride w:val="1"/>
    </w:lvlOverride>
  </w:num>
  <w:num w:numId="31">
    <w:abstractNumId w:val="2"/>
    <w:lvlOverride w:ilvl="0">
      <w:startOverride w:val="1"/>
    </w:lvlOverride>
  </w:num>
  <w:num w:numId="32">
    <w:abstractNumId w:val="25"/>
    <w:lvlOverride w:ilvl="0">
      <w:lvl w:ilvl="0">
        <w:start w:val="1"/>
        <w:numFmt w:val="decimal"/>
        <w:lvlText w:val="%1"/>
        <w:lvlJc w:val="left"/>
        <w:pPr>
          <w:ind w:left="680" w:hanging="680"/>
        </w:pPr>
        <w:rPr>
          <w:rFonts w:hint="default"/>
        </w:rPr>
      </w:lvl>
    </w:lvlOverride>
    <w:lvlOverride w:ilvl="1">
      <w:lvl w:ilvl="1">
        <w:start w:val="1"/>
        <w:numFmt w:val="decimal"/>
        <w:lvlText w:val="%1.%2"/>
        <w:lvlJc w:val="left"/>
        <w:pPr>
          <w:ind w:left="680" w:hanging="680"/>
        </w:pPr>
        <w:rPr>
          <w:rFonts w:hint="default"/>
        </w:rPr>
      </w:lvl>
    </w:lvlOverride>
    <w:lvlOverride w:ilvl="2">
      <w:lvl w:ilvl="2">
        <w:start w:val="1"/>
        <w:numFmt w:val="decimal"/>
        <w:lvlText w:val="%1.%2.%3"/>
        <w:lvlJc w:val="left"/>
        <w:pPr>
          <w:ind w:left="1021" w:hanging="1021"/>
        </w:pPr>
        <w:rPr>
          <w:rFonts w:hint="default"/>
        </w:rPr>
      </w:lvl>
    </w:lvlOverride>
    <w:lvlOverride w:ilvl="3">
      <w:lvl w:ilvl="3">
        <w:start w:val="1"/>
        <w:numFmt w:val="decimal"/>
        <w:lvlText w:val="%1.%2.%3.%4"/>
        <w:lvlJc w:val="left"/>
        <w:pPr>
          <w:ind w:left="1021" w:hanging="1021"/>
        </w:pPr>
        <w:rPr>
          <w:rFonts w:hint="default"/>
        </w:rPr>
      </w:lvl>
    </w:lvlOverride>
    <w:lvlOverride w:ilvl="4">
      <w:lvl w:ilvl="4">
        <w:start w:val="1"/>
        <w:numFmt w:val="decimal"/>
        <w:lvlText w:val="%1.%2.%3.%4.%5"/>
        <w:lvlJc w:val="left"/>
        <w:pPr>
          <w:ind w:left="1361" w:hanging="1361"/>
        </w:pPr>
        <w:rPr>
          <w:rFonts w:hint="default"/>
        </w:rPr>
      </w:lvl>
    </w:lvlOverride>
    <w:lvlOverride w:ilvl="5">
      <w:lvl w:ilvl="5">
        <w:start w:val="1"/>
        <w:numFmt w:val="decimal"/>
        <w:lvlText w:val="%1.%2.%3.%4.%5.%6"/>
        <w:lvlJc w:val="left"/>
        <w:pPr>
          <w:ind w:left="1361" w:hanging="1361"/>
        </w:pPr>
        <w:rPr>
          <w:rFonts w:hint="default"/>
        </w:rPr>
      </w:lvl>
    </w:lvlOverride>
    <w:lvlOverride w:ilvl="6">
      <w:lvl w:ilvl="6">
        <w:start w:val="1"/>
        <w:numFmt w:val="decimal"/>
        <w:lvlText w:val="%1.%2.%3.%4.%5.%6.%7"/>
        <w:lvlJc w:val="left"/>
        <w:pPr>
          <w:ind w:left="680" w:hanging="680"/>
        </w:pPr>
        <w:rPr>
          <w:rFonts w:hint="default"/>
        </w:rPr>
      </w:lvl>
    </w:lvlOverride>
    <w:lvlOverride w:ilvl="7">
      <w:lvl w:ilvl="7">
        <w:start w:val="1"/>
        <w:numFmt w:val="decimal"/>
        <w:lvlText w:val="%1.%2.%3.%4.%5.%6.%7.%8"/>
        <w:lvlJc w:val="left"/>
        <w:pPr>
          <w:ind w:left="1701" w:hanging="1701"/>
        </w:pPr>
        <w:rPr>
          <w:rFonts w:hint="default"/>
        </w:rPr>
      </w:lvl>
    </w:lvlOverride>
    <w:lvlOverride w:ilvl="8">
      <w:lvl w:ilvl="8">
        <w:start w:val="1"/>
        <w:numFmt w:val="decimal"/>
        <w:lvlText w:val="%1.%2.%3.%4.%5.%6.%7.%8.%9"/>
        <w:lvlJc w:val="left"/>
        <w:pPr>
          <w:ind w:left="1701" w:hanging="1701"/>
        </w:pPr>
        <w:rPr>
          <w:rFonts w:hint="default"/>
        </w:rPr>
      </w:lvl>
    </w:lvlOverride>
  </w:num>
  <w:num w:numId="33">
    <w:abstractNumId w:val="15"/>
  </w:num>
  <w:num w:numId="34">
    <w:abstractNumId w:val="2"/>
    <w:lvlOverride w:ilvl="0">
      <w:startOverride w:val="1"/>
    </w:lvlOverride>
  </w:num>
  <w:num w:numId="35">
    <w:abstractNumId w:val="12"/>
  </w:num>
  <w:num w:numId="36">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4"/>
  <w:attachedTemplate r:id="rId1"/>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34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4816\D15 136728  PS - CBP - Cosmetic Subscription Service Survey Report - September 2015.DOCX"/>
  </w:docVars>
  <w:rsids>
    <w:rsidRoot w:val="00B7149B"/>
    <w:rsid w:val="00001862"/>
    <w:rsid w:val="0002115F"/>
    <w:rsid w:val="00021202"/>
    <w:rsid w:val="000225C4"/>
    <w:rsid w:val="000228F4"/>
    <w:rsid w:val="00026E19"/>
    <w:rsid w:val="00026EC5"/>
    <w:rsid w:val="0003396F"/>
    <w:rsid w:val="0003578C"/>
    <w:rsid w:val="00063247"/>
    <w:rsid w:val="000709BA"/>
    <w:rsid w:val="00070F9F"/>
    <w:rsid w:val="0007137B"/>
    <w:rsid w:val="00072D3B"/>
    <w:rsid w:val="000774D5"/>
    <w:rsid w:val="00082AC5"/>
    <w:rsid w:val="00085663"/>
    <w:rsid w:val="00085EBF"/>
    <w:rsid w:val="000B58EE"/>
    <w:rsid w:val="000B5CDD"/>
    <w:rsid w:val="000C7747"/>
    <w:rsid w:val="000D122C"/>
    <w:rsid w:val="000E1819"/>
    <w:rsid w:val="000E3A2E"/>
    <w:rsid w:val="000E6C72"/>
    <w:rsid w:val="000F2368"/>
    <w:rsid w:val="00116EB2"/>
    <w:rsid w:val="00124609"/>
    <w:rsid w:val="00155128"/>
    <w:rsid w:val="001573E4"/>
    <w:rsid w:val="00160756"/>
    <w:rsid w:val="0016617C"/>
    <w:rsid w:val="0017232E"/>
    <w:rsid w:val="00174102"/>
    <w:rsid w:val="00180157"/>
    <w:rsid w:val="00181223"/>
    <w:rsid w:val="00186F77"/>
    <w:rsid w:val="001926A4"/>
    <w:rsid w:val="001948CA"/>
    <w:rsid w:val="001A0F46"/>
    <w:rsid w:val="001B45A0"/>
    <w:rsid w:val="001C18EE"/>
    <w:rsid w:val="001C5006"/>
    <w:rsid w:val="001D047B"/>
    <w:rsid w:val="001D055E"/>
    <w:rsid w:val="001E13DF"/>
    <w:rsid w:val="001F492E"/>
    <w:rsid w:val="001F6DA3"/>
    <w:rsid w:val="00212737"/>
    <w:rsid w:val="00224DB9"/>
    <w:rsid w:val="00224EBF"/>
    <w:rsid w:val="00251745"/>
    <w:rsid w:val="00251F7C"/>
    <w:rsid w:val="00263AC0"/>
    <w:rsid w:val="0026772D"/>
    <w:rsid w:val="00275AA5"/>
    <w:rsid w:val="00286874"/>
    <w:rsid w:val="00287E57"/>
    <w:rsid w:val="00296B65"/>
    <w:rsid w:val="00296B8A"/>
    <w:rsid w:val="002A572C"/>
    <w:rsid w:val="002A7DEF"/>
    <w:rsid w:val="002B126C"/>
    <w:rsid w:val="002C0CB1"/>
    <w:rsid w:val="002C6C71"/>
    <w:rsid w:val="002F0E4C"/>
    <w:rsid w:val="002F6C2B"/>
    <w:rsid w:val="002F7986"/>
    <w:rsid w:val="00303C4A"/>
    <w:rsid w:val="00307F6D"/>
    <w:rsid w:val="00313954"/>
    <w:rsid w:val="003177A2"/>
    <w:rsid w:val="003271B5"/>
    <w:rsid w:val="00331264"/>
    <w:rsid w:val="00334C8D"/>
    <w:rsid w:val="00340655"/>
    <w:rsid w:val="003451A4"/>
    <w:rsid w:val="003459E6"/>
    <w:rsid w:val="003518B3"/>
    <w:rsid w:val="003611B5"/>
    <w:rsid w:val="00376ED9"/>
    <w:rsid w:val="003846F1"/>
    <w:rsid w:val="00384FB8"/>
    <w:rsid w:val="00385FD1"/>
    <w:rsid w:val="00394E63"/>
    <w:rsid w:val="003A673F"/>
    <w:rsid w:val="003B5A70"/>
    <w:rsid w:val="003C5C67"/>
    <w:rsid w:val="00421130"/>
    <w:rsid w:val="00464444"/>
    <w:rsid w:val="0047345E"/>
    <w:rsid w:val="00475DDE"/>
    <w:rsid w:val="00480B4B"/>
    <w:rsid w:val="00485DC4"/>
    <w:rsid w:val="004A4B4B"/>
    <w:rsid w:val="004B4412"/>
    <w:rsid w:val="004B77CF"/>
    <w:rsid w:val="004C1A8F"/>
    <w:rsid w:val="004C348C"/>
    <w:rsid w:val="004D2A50"/>
    <w:rsid w:val="004D55BA"/>
    <w:rsid w:val="004F2D02"/>
    <w:rsid w:val="004F60ED"/>
    <w:rsid w:val="005038DB"/>
    <w:rsid w:val="0052341D"/>
    <w:rsid w:val="00530128"/>
    <w:rsid w:val="00532467"/>
    <w:rsid w:val="0054294A"/>
    <w:rsid w:val="00547CCF"/>
    <w:rsid w:val="00564A4D"/>
    <w:rsid w:val="005673AD"/>
    <w:rsid w:val="00571B35"/>
    <w:rsid w:val="00571C9F"/>
    <w:rsid w:val="00577A09"/>
    <w:rsid w:val="00584D8F"/>
    <w:rsid w:val="005938BD"/>
    <w:rsid w:val="0059472C"/>
    <w:rsid w:val="00596D42"/>
    <w:rsid w:val="005A404D"/>
    <w:rsid w:val="005B1E3C"/>
    <w:rsid w:val="005C26CC"/>
    <w:rsid w:val="005E52E8"/>
    <w:rsid w:val="005E6C0E"/>
    <w:rsid w:val="005F2B34"/>
    <w:rsid w:val="00612FFE"/>
    <w:rsid w:val="00615C6B"/>
    <w:rsid w:val="00632D6D"/>
    <w:rsid w:val="00642BD9"/>
    <w:rsid w:val="00642C3E"/>
    <w:rsid w:val="006515AE"/>
    <w:rsid w:val="00663DAD"/>
    <w:rsid w:val="00665AA6"/>
    <w:rsid w:val="00676679"/>
    <w:rsid w:val="00687F39"/>
    <w:rsid w:val="006950BD"/>
    <w:rsid w:val="006B207C"/>
    <w:rsid w:val="006B35AE"/>
    <w:rsid w:val="006B4CF9"/>
    <w:rsid w:val="006B7AC8"/>
    <w:rsid w:val="006D012E"/>
    <w:rsid w:val="006D2275"/>
    <w:rsid w:val="006D550F"/>
    <w:rsid w:val="006D77F3"/>
    <w:rsid w:val="006F0A64"/>
    <w:rsid w:val="00701CAB"/>
    <w:rsid w:val="007072B7"/>
    <w:rsid w:val="00707563"/>
    <w:rsid w:val="0072348C"/>
    <w:rsid w:val="00724A37"/>
    <w:rsid w:val="007303C3"/>
    <w:rsid w:val="00743223"/>
    <w:rsid w:val="007447C7"/>
    <w:rsid w:val="00746E01"/>
    <w:rsid w:val="0074745A"/>
    <w:rsid w:val="00752BC9"/>
    <w:rsid w:val="00763E5D"/>
    <w:rsid w:val="00767740"/>
    <w:rsid w:val="007769A1"/>
    <w:rsid w:val="00777EE6"/>
    <w:rsid w:val="00780036"/>
    <w:rsid w:val="00782EEA"/>
    <w:rsid w:val="0079205E"/>
    <w:rsid w:val="007A2322"/>
    <w:rsid w:val="007B2C72"/>
    <w:rsid w:val="007C19E7"/>
    <w:rsid w:val="007C1C53"/>
    <w:rsid w:val="007C2C18"/>
    <w:rsid w:val="007C5337"/>
    <w:rsid w:val="007C5A17"/>
    <w:rsid w:val="007D39D9"/>
    <w:rsid w:val="007E26A9"/>
    <w:rsid w:val="007E4904"/>
    <w:rsid w:val="007E4CB5"/>
    <w:rsid w:val="007F066B"/>
    <w:rsid w:val="007F43B7"/>
    <w:rsid w:val="007F4786"/>
    <w:rsid w:val="008033C4"/>
    <w:rsid w:val="00806682"/>
    <w:rsid w:val="00806C88"/>
    <w:rsid w:val="0081034E"/>
    <w:rsid w:val="00822CF8"/>
    <w:rsid w:val="00825F9A"/>
    <w:rsid w:val="008344F6"/>
    <w:rsid w:val="0083510F"/>
    <w:rsid w:val="00851209"/>
    <w:rsid w:val="0086526F"/>
    <w:rsid w:val="008668C1"/>
    <w:rsid w:val="00877879"/>
    <w:rsid w:val="0088007E"/>
    <w:rsid w:val="008801AF"/>
    <w:rsid w:val="008837AC"/>
    <w:rsid w:val="008908F0"/>
    <w:rsid w:val="008945B4"/>
    <w:rsid w:val="008A587D"/>
    <w:rsid w:val="008B7DB2"/>
    <w:rsid w:val="008C5486"/>
    <w:rsid w:val="008D3910"/>
    <w:rsid w:val="008E11F6"/>
    <w:rsid w:val="008E7031"/>
    <w:rsid w:val="0090766C"/>
    <w:rsid w:val="00911F68"/>
    <w:rsid w:val="009171B0"/>
    <w:rsid w:val="00922C95"/>
    <w:rsid w:val="009233EE"/>
    <w:rsid w:val="009403C4"/>
    <w:rsid w:val="00953AC4"/>
    <w:rsid w:val="00960969"/>
    <w:rsid w:val="009661DE"/>
    <w:rsid w:val="00972F1B"/>
    <w:rsid w:val="00982B06"/>
    <w:rsid w:val="009856B7"/>
    <w:rsid w:val="0098602B"/>
    <w:rsid w:val="00991B3B"/>
    <w:rsid w:val="009962BA"/>
    <w:rsid w:val="009B74B0"/>
    <w:rsid w:val="009D4414"/>
    <w:rsid w:val="009D6B46"/>
    <w:rsid w:val="009D75E9"/>
    <w:rsid w:val="009F2BE5"/>
    <w:rsid w:val="009F4940"/>
    <w:rsid w:val="00A050C0"/>
    <w:rsid w:val="00A1496D"/>
    <w:rsid w:val="00A1665B"/>
    <w:rsid w:val="00A27245"/>
    <w:rsid w:val="00A4478A"/>
    <w:rsid w:val="00A44852"/>
    <w:rsid w:val="00A54390"/>
    <w:rsid w:val="00A561D2"/>
    <w:rsid w:val="00A57D04"/>
    <w:rsid w:val="00A60A26"/>
    <w:rsid w:val="00A61598"/>
    <w:rsid w:val="00A62E54"/>
    <w:rsid w:val="00A67AD2"/>
    <w:rsid w:val="00A84F46"/>
    <w:rsid w:val="00A871F4"/>
    <w:rsid w:val="00AA0043"/>
    <w:rsid w:val="00AC1B2C"/>
    <w:rsid w:val="00AC3264"/>
    <w:rsid w:val="00AC6F01"/>
    <w:rsid w:val="00AE0FE2"/>
    <w:rsid w:val="00AE1BF1"/>
    <w:rsid w:val="00AF0DD2"/>
    <w:rsid w:val="00AF34EA"/>
    <w:rsid w:val="00B10314"/>
    <w:rsid w:val="00B13048"/>
    <w:rsid w:val="00B15998"/>
    <w:rsid w:val="00B15F94"/>
    <w:rsid w:val="00B1716D"/>
    <w:rsid w:val="00B17A1D"/>
    <w:rsid w:val="00B207A0"/>
    <w:rsid w:val="00B246ED"/>
    <w:rsid w:val="00B51778"/>
    <w:rsid w:val="00B56E03"/>
    <w:rsid w:val="00B57DE5"/>
    <w:rsid w:val="00B60F5D"/>
    <w:rsid w:val="00B67E91"/>
    <w:rsid w:val="00B7149B"/>
    <w:rsid w:val="00B8080B"/>
    <w:rsid w:val="00B85E83"/>
    <w:rsid w:val="00B87C39"/>
    <w:rsid w:val="00B90668"/>
    <w:rsid w:val="00BA4665"/>
    <w:rsid w:val="00BB2FB2"/>
    <w:rsid w:val="00BB3304"/>
    <w:rsid w:val="00BD3446"/>
    <w:rsid w:val="00BD73E3"/>
    <w:rsid w:val="00BE1F1B"/>
    <w:rsid w:val="00BE47B5"/>
    <w:rsid w:val="00BE4C99"/>
    <w:rsid w:val="00BE61EC"/>
    <w:rsid w:val="00BE7FDA"/>
    <w:rsid w:val="00BF0A92"/>
    <w:rsid w:val="00BF4FEF"/>
    <w:rsid w:val="00C058AB"/>
    <w:rsid w:val="00C06739"/>
    <w:rsid w:val="00C20634"/>
    <w:rsid w:val="00C219E6"/>
    <w:rsid w:val="00C23A34"/>
    <w:rsid w:val="00C538A9"/>
    <w:rsid w:val="00C53B5A"/>
    <w:rsid w:val="00C54F5A"/>
    <w:rsid w:val="00C7306F"/>
    <w:rsid w:val="00C755AD"/>
    <w:rsid w:val="00C8519F"/>
    <w:rsid w:val="00C86679"/>
    <w:rsid w:val="00C907F7"/>
    <w:rsid w:val="00C93A3D"/>
    <w:rsid w:val="00C977C4"/>
    <w:rsid w:val="00CB666B"/>
    <w:rsid w:val="00CC16E4"/>
    <w:rsid w:val="00CC25BF"/>
    <w:rsid w:val="00CD03D9"/>
    <w:rsid w:val="00CF799E"/>
    <w:rsid w:val="00D01CF0"/>
    <w:rsid w:val="00D0442A"/>
    <w:rsid w:val="00D203E1"/>
    <w:rsid w:val="00D21BBA"/>
    <w:rsid w:val="00D44B02"/>
    <w:rsid w:val="00D544B8"/>
    <w:rsid w:val="00D61388"/>
    <w:rsid w:val="00D61A54"/>
    <w:rsid w:val="00D64AF7"/>
    <w:rsid w:val="00D64DEA"/>
    <w:rsid w:val="00D652F3"/>
    <w:rsid w:val="00D73D5F"/>
    <w:rsid w:val="00D80893"/>
    <w:rsid w:val="00D820F4"/>
    <w:rsid w:val="00D9084E"/>
    <w:rsid w:val="00D92CF1"/>
    <w:rsid w:val="00D92D38"/>
    <w:rsid w:val="00D950F5"/>
    <w:rsid w:val="00DB0F93"/>
    <w:rsid w:val="00DC542F"/>
    <w:rsid w:val="00DC7981"/>
    <w:rsid w:val="00DE4EFA"/>
    <w:rsid w:val="00DE5520"/>
    <w:rsid w:val="00E04818"/>
    <w:rsid w:val="00E05D64"/>
    <w:rsid w:val="00E06442"/>
    <w:rsid w:val="00E1662B"/>
    <w:rsid w:val="00E1668C"/>
    <w:rsid w:val="00E23993"/>
    <w:rsid w:val="00E25B8C"/>
    <w:rsid w:val="00E301BF"/>
    <w:rsid w:val="00E35709"/>
    <w:rsid w:val="00E4674F"/>
    <w:rsid w:val="00E63639"/>
    <w:rsid w:val="00E65C85"/>
    <w:rsid w:val="00E66199"/>
    <w:rsid w:val="00E72EBA"/>
    <w:rsid w:val="00E755EC"/>
    <w:rsid w:val="00E7624D"/>
    <w:rsid w:val="00E81906"/>
    <w:rsid w:val="00E84DD8"/>
    <w:rsid w:val="00E86707"/>
    <w:rsid w:val="00E96360"/>
    <w:rsid w:val="00EA3D42"/>
    <w:rsid w:val="00EA44C1"/>
    <w:rsid w:val="00EA480B"/>
    <w:rsid w:val="00EA6B1B"/>
    <w:rsid w:val="00EE28F3"/>
    <w:rsid w:val="00EF5110"/>
    <w:rsid w:val="00EF6859"/>
    <w:rsid w:val="00F01081"/>
    <w:rsid w:val="00F15882"/>
    <w:rsid w:val="00F20BD3"/>
    <w:rsid w:val="00F373A5"/>
    <w:rsid w:val="00F37D2C"/>
    <w:rsid w:val="00F47559"/>
    <w:rsid w:val="00F57A91"/>
    <w:rsid w:val="00F60BE4"/>
    <w:rsid w:val="00F61B84"/>
    <w:rsid w:val="00F62762"/>
    <w:rsid w:val="00F62ED7"/>
    <w:rsid w:val="00F64C7B"/>
    <w:rsid w:val="00F676DD"/>
    <w:rsid w:val="00F75A26"/>
    <w:rsid w:val="00F83FAD"/>
    <w:rsid w:val="00F91DC6"/>
    <w:rsid w:val="00F92532"/>
    <w:rsid w:val="00F948B6"/>
    <w:rsid w:val="00F952A0"/>
    <w:rsid w:val="00FA3C7F"/>
    <w:rsid w:val="00FB3A05"/>
    <w:rsid w:val="00FB52D7"/>
    <w:rsid w:val="00FB74E2"/>
    <w:rsid w:val="00FC39E3"/>
    <w:rsid w:val="00FC62F4"/>
    <w:rsid w:val="00FD5614"/>
    <w:rsid w:val="00FE0BE1"/>
    <w:rsid w:val="00FE1DE9"/>
    <w:rsid w:val="00FE1ED4"/>
    <w:rsid w:val="00FE1EF2"/>
    <w:rsid w:val="00FE39C2"/>
    <w:rsid w:val="00FE64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3B5A70"/>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next w:val="Normal"/>
    <w:link w:val="Heading2Char"/>
    <w:qFormat/>
    <w:rsid w:val="009D6B46"/>
    <w:pPr>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uiPriority w:val="2"/>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2"/>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2"/>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2"/>
    <w:qFormat/>
    <w:rsid w:val="009D6B46"/>
    <w:pPr>
      <w:spacing w:before="240"/>
      <w:outlineLvl w:val="7"/>
    </w:pPr>
    <w:rPr>
      <w:rFonts w:eastAsiaTheme="majorEastAsia" w:cstheme="majorBidi"/>
      <w:color w:val="51626F" w:themeColor="accent1"/>
      <w:szCs w:val="20"/>
    </w:rPr>
  </w:style>
  <w:style w:type="paragraph" w:styleId="Heading9">
    <w:name w:val="heading 9"/>
    <w:aliases w:val="Numbered Table"/>
    <w:basedOn w:val="Normal"/>
    <w:next w:val="Normal"/>
    <w:link w:val="Heading9Char"/>
    <w:uiPriority w:val="2"/>
    <w:qFormat/>
    <w:rsid w:val="00D64AF7"/>
    <w:pPr>
      <w:numPr>
        <w:numId w:val="27"/>
      </w:numPr>
      <w:tabs>
        <w:tab w:val="left" w:pos="340"/>
      </w:tabs>
      <w:spacing w:before="240" w:after="120"/>
      <w:outlineLvl w:val="8"/>
    </w:pPr>
    <w:rPr>
      <w:rFonts w:eastAsiaTheme="majorEastAsia" w:cstheme="majorBidi"/>
      <w:b/>
      <w:iCs/>
      <w:color w:val="000000" w:themeColor="text1"/>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basedOn w:val="DefaultParagraphFont"/>
    <w:link w:val="Heading2"/>
    <w:rsid w:val="009D6B46"/>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uiPriority w:val="2"/>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2"/>
    <w:rsid w:val="009D6B46"/>
    <w:rPr>
      <w:rFonts w:ascii="Arial" w:eastAsiaTheme="majorEastAsia" w:hAnsi="Arial" w:cstheme="majorBidi"/>
      <w:b/>
      <w:i/>
      <w:iCs/>
    </w:rPr>
  </w:style>
  <w:style w:type="paragraph" w:customStyle="1" w:styleId="Chaptertitle">
    <w:name w:val="Chapter title"/>
    <w:basedOn w:val="Normal"/>
    <w:link w:val="ChaptertitleChar"/>
    <w:rsid w:val="0088007E"/>
    <w:pPr>
      <w:spacing w:before="520" w:after="120"/>
    </w:pPr>
    <w:rPr>
      <w:rFonts w:ascii="Lucida Fax" w:hAnsi="Lucida Fax"/>
      <w:color w:val="4F2D7F"/>
      <w:sz w:val="52"/>
      <w:szCs w:val="52"/>
    </w:rPr>
  </w:style>
  <w:style w:type="character" w:customStyle="1" w:styleId="ChaptertitleChar">
    <w:name w:val="Chapter title Char"/>
    <w:basedOn w:val="DefaultParagraphFont"/>
    <w:link w:val="Chaptertitle"/>
    <w:rsid w:val="0088007E"/>
    <w:rPr>
      <w:rFonts w:ascii="Lucida Fax" w:hAnsi="Lucida Fax"/>
      <w:color w:val="4F2D7F"/>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uiPriority w:val="39"/>
    <w:rsid w:val="009F4940"/>
    <w:pPr>
      <w:tabs>
        <w:tab w:val="right" w:leader="dot" w:pos="9016"/>
      </w:tabs>
      <w:spacing w:after="100"/>
      <w:ind w:left="2977"/>
    </w:pPr>
    <w:rPr>
      <w:noProof/>
    </w:rPr>
  </w:style>
  <w:style w:type="paragraph" w:styleId="TOC9">
    <w:name w:val="toc 9"/>
    <w:basedOn w:val="Normal"/>
    <w:next w:val="Normal"/>
    <w:uiPriority w:val="39"/>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F61B84"/>
    <w:pPr>
      <w:numPr>
        <w:numId w:val="12"/>
      </w:numPr>
      <w:tabs>
        <w:tab w:val="left" w:pos="680"/>
      </w:tabs>
      <w:ind w:left="680" w:hanging="680"/>
    </w:pPr>
  </w:style>
  <w:style w:type="paragraph" w:customStyle="1" w:styleId="Numbered11">
    <w:name w:val="Numbered 1.1"/>
    <w:basedOn w:val="Heading2"/>
    <w:next w:val="Normal"/>
    <w:qFormat/>
    <w:rsid w:val="000E3A2E"/>
    <w:pPr>
      <w:numPr>
        <w:ilvl w:val="1"/>
        <w:numId w:val="12"/>
      </w:numPr>
      <w:tabs>
        <w:tab w:val="left" w:pos="1021"/>
      </w:tabs>
      <w:ind w:left="1021" w:hanging="1021"/>
    </w:pPr>
    <w:rPr>
      <w:rFonts w:cs="Arial"/>
    </w:rPr>
  </w:style>
  <w:style w:type="paragraph" w:customStyle="1" w:styleId="Numbered111">
    <w:name w:val="Numbered 1.1.1"/>
    <w:basedOn w:val="Heading3"/>
    <w:next w:val="Normal"/>
    <w:qFormat/>
    <w:rsid w:val="009F2BE5"/>
    <w:pPr>
      <w:numPr>
        <w:ilvl w:val="2"/>
        <w:numId w:val="12"/>
      </w:numPr>
      <w:tabs>
        <w:tab w:val="left" w:pos="1361"/>
      </w:tabs>
      <w:ind w:left="1021" w:hanging="1021"/>
      <w:contextualSpacing/>
    </w:pPr>
  </w:style>
  <w:style w:type="paragraph" w:customStyle="1" w:styleId="Numbered1111">
    <w:name w:val="Numbered 1.1.1.1"/>
    <w:basedOn w:val="Heading4"/>
    <w:next w:val="Normal"/>
    <w:rsid w:val="00F61B84"/>
    <w:pPr>
      <w:numPr>
        <w:ilvl w:val="3"/>
        <w:numId w:val="12"/>
      </w:numPr>
      <w:tabs>
        <w:tab w:val="left" w:pos="1361"/>
      </w:tabs>
      <w:ind w:left="1361" w:hanging="1361"/>
    </w:pPr>
  </w:style>
  <w:style w:type="paragraph" w:customStyle="1" w:styleId="Numbered11111">
    <w:name w:val="Numbered 1.1.1.1.1"/>
    <w:basedOn w:val="Heading5"/>
    <w:next w:val="Normal"/>
    <w:uiPriority w:val="2"/>
    <w:rsid w:val="00F61B84"/>
    <w:pPr>
      <w:numPr>
        <w:ilvl w:val="4"/>
        <w:numId w:val="12"/>
      </w:numPr>
      <w:tabs>
        <w:tab w:val="left" w:pos="1701"/>
      </w:tabs>
      <w:ind w:left="1701" w:hanging="1701"/>
    </w:pPr>
  </w:style>
  <w:style w:type="paragraph" w:customStyle="1" w:styleId="Numbered111111">
    <w:name w:val="Numbered 1.1.1.1.1.1"/>
    <w:basedOn w:val="Heading6"/>
    <w:next w:val="Normal"/>
    <w:uiPriority w:val="2"/>
    <w:rsid w:val="00F61B84"/>
    <w:pPr>
      <w:numPr>
        <w:ilvl w:val="5"/>
        <w:numId w:val="12"/>
      </w:numPr>
      <w:tabs>
        <w:tab w:val="left" w:pos="1701"/>
      </w:tabs>
      <w:ind w:left="1701" w:hanging="1701"/>
    </w:pPr>
  </w:style>
  <w:style w:type="paragraph" w:styleId="Header">
    <w:name w:val="header"/>
    <w:basedOn w:val="Normal"/>
    <w:link w:val="HeaderChar"/>
    <w:uiPriority w:val="99"/>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rsid w:val="005C26CC"/>
    <w:rPr>
      <w:sz w:val="24"/>
    </w:rPr>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E4674F"/>
    <w:pPr>
      <w:numPr>
        <w:numId w:val="2"/>
      </w:numPr>
      <w:ind w:left="340" w:hanging="340"/>
    </w:pPr>
    <w:rPr>
      <w:rFonts w:cs="Times New Roman"/>
    </w:rPr>
  </w:style>
  <w:style w:type="paragraph" w:styleId="ListBullet">
    <w:name w:val="List Bullet"/>
    <w:basedOn w:val="Normal"/>
    <w:uiPriority w:val="99"/>
    <w:rsid w:val="00DC542F"/>
    <w:pPr>
      <w:numPr>
        <w:numId w:val="10"/>
      </w:numPr>
      <w:tabs>
        <w:tab w:val="left" w:pos="340"/>
      </w:tabs>
      <w:spacing w:before="120"/>
      <w:ind w:left="340" w:hanging="340"/>
    </w:pPr>
  </w:style>
  <w:style w:type="paragraph" w:customStyle="1" w:styleId="Bulletpoint2">
    <w:name w:val="Bullet point 2"/>
    <w:basedOn w:val="ListBullet2"/>
    <w:uiPriority w:val="1"/>
    <w:qFormat/>
    <w:rsid w:val="00E4674F"/>
    <w:pPr>
      <w:numPr>
        <w:numId w:val="9"/>
      </w:numPr>
      <w:tabs>
        <w:tab w:val="left" w:pos="680"/>
      </w:tabs>
      <w:ind w:left="680" w:hanging="340"/>
    </w:pPr>
  </w:style>
  <w:style w:type="paragraph" w:styleId="ListNumber">
    <w:name w:val="List Number"/>
    <w:basedOn w:val="Normal"/>
    <w:uiPriority w:val="99"/>
    <w:rsid w:val="000F2368"/>
    <w:pPr>
      <w:numPr>
        <w:numId w:val="23"/>
      </w:numPr>
      <w:spacing w:before="120"/>
    </w:pPr>
    <w:rPr>
      <w:color w:val="000000" w:themeColor="text1" w:themeShade="BF"/>
    </w:rPr>
  </w:style>
  <w:style w:type="paragraph" w:styleId="ListBullet2">
    <w:name w:val="List Bullet 2"/>
    <w:basedOn w:val="Normal"/>
    <w:uiPriority w:val="99"/>
    <w:rsid w:val="00DC542F"/>
    <w:pPr>
      <w:numPr>
        <w:numId w:val="3"/>
      </w:numPr>
      <w:tabs>
        <w:tab w:val="clear" w:pos="643"/>
        <w:tab w:val="num" w:pos="680"/>
      </w:tabs>
      <w:spacing w:before="120"/>
      <w:ind w:left="680" w:hanging="340"/>
    </w:pPr>
  </w:style>
  <w:style w:type="paragraph" w:styleId="TOCHeading">
    <w:name w:val="TOC Heading"/>
    <w:basedOn w:val="Normal"/>
    <w:next w:val="Normal"/>
    <w:uiPriority w:val="39"/>
    <w:qFormat/>
    <w:rsid w:val="00E04818"/>
    <w:pPr>
      <w:spacing w:before="480" w:after="120" w:line="276" w:lineRule="auto"/>
    </w:pPr>
    <w:rPr>
      <w:rFonts w:ascii="Lucida Fax" w:eastAsiaTheme="majorEastAsia" w:hAnsi="Lucida Fax" w:cstheme="majorBidi"/>
      <w:bCs/>
      <w:color w:val="51626F"/>
      <w:sz w:val="32"/>
      <w:szCs w:val="28"/>
      <w:lang w:val="en-US" w:eastAsia="ja-JP"/>
    </w:rPr>
  </w:style>
  <w:style w:type="paragraph" w:styleId="ListNumber2">
    <w:name w:val="List Number 2"/>
    <w:next w:val="Normal"/>
    <w:uiPriority w:val="99"/>
    <w:rsid w:val="00BE4C99"/>
    <w:pPr>
      <w:numPr>
        <w:numId w:val="24"/>
      </w:numPr>
      <w:tabs>
        <w:tab w:val="left" w:pos="680"/>
      </w:tabs>
      <w:spacing w:before="120"/>
    </w:pPr>
    <w:rPr>
      <w:rFonts w:ascii="Arial" w:hAnsi="Arial"/>
    </w:r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F61B84"/>
    <w:pPr>
      <w:numPr>
        <w:numId w:val="11"/>
      </w:numPr>
      <w:tabs>
        <w:tab w:val="left" w:pos="340"/>
      </w:tabs>
      <w:spacing w:before="120"/>
    </w:pPr>
  </w:style>
  <w:style w:type="character" w:customStyle="1" w:styleId="Heading7Char">
    <w:name w:val="Heading 7 Char"/>
    <w:basedOn w:val="DefaultParagraphFont"/>
    <w:link w:val="Heading7"/>
    <w:uiPriority w:val="2"/>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uiPriority w:val="2"/>
    <w:rsid w:val="009D6B46"/>
    <w:rPr>
      <w:rFonts w:ascii="Arial" w:eastAsiaTheme="majorEastAsia" w:hAnsi="Arial" w:cstheme="majorBidi"/>
      <w:color w:val="51626F" w:themeColor="accent1"/>
      <w:szCs w:val="20"/>
    </w:rPr>
  </w:style>
  <w:style w:type="character" w:customStyle="1" w:styleId="Heading9Char">
    <w:name w:val="Heading 9 Char"/>
    <w:aliases w:val="Numbered Table Char"/>
    <w:basedOn w:val="DefaultParagraphFont"/>
    <w:link w:val="Heading9"/>
    <w:uiPriority w:val="2"/>
    <w:rsid w:val="00D64AF7"/>
    <w:rPr>
      <w:rFonts w:ascii="Arial" w:eastAsiaTheme="majorEastAsia" w:hAnsi="Arial" w:cstheme="majorBidi"/>
      <w:b/>
      <w:iCs/>
      <w:color w:val="000000" w:themeColor="text1"/>
      <w:sz w:val="24"/>
      <w:szCs w:val="20"/>
    </w:rPr>
  </w:style>
  <w:style w:type="paragraph" w:customStyle="1" w:styleId="Numbered1111111">
    <w:name w:val="Numbered 1.1.1.1.1.1.1"/>
    <w:basedOn w:val="Heading7"/>
    <w:next w:val="Normal"/>
    <w:uiPriority w:val="2"/>
    <w:rsid w:val="00F61B84"/>
    <w:pPr>
      <w:numPr>
        <w:ilvl w:val="6"/>
        <w:numId w:val="12"/>
      </w:numPr>
      <w:tabs>
        <w:tab w:val="left" w:pos="2041"/>
      </w:tabs>
      <w:ind w:left="2041" w:hanging="2041"/>
    </w:pPr>
  </w:style>
  <w:style w:type="paragraph" w:customStyle="1" w:styleId="Numbered11111111">
    <w:name w:val="Numbered 1.1.1.1.1.1.1.1"/>
    <w:basedOn w:val="Heading8"/>
    <w:next w:val="Normal"/>
    <w:uiPriority w:val="2"/>
    <w:rsid w:val="00F61B84"/>
    <w:pPr>
      <w:numPr>
        <w:ilvl w:val="7"/>
        <w:numId w:val="12"/>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semiHidden/>
    <w:unhideWhenUsed/>
    <w:rsid w:val="005C26CC"/>
    <w:pPr>
      <w:spacing w:after="120"/>
    </w:pPr>
    <w:rPr>
      <w:szCs w:val="16"/>
    </w:rPr>
  </w:style>
  <w:style w:type="character" w:customStyle="1" w:styleId="BodyText3Char">
    <w:name w:val="Body Text 3 Char"/>
    <w:basedOn w:val="DefaultParagraphFont"/>
    <w:link w:val="BodyText3"/>
    <w:uiPriority w:val="99"/>
    <w:semiHidden/>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4F2D7D"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4F2D7D" w:themeColor="accent2"/>
      <w:spacing w:val="5"/>
      <w:kern w:val="28"/>
      <w:sz w:val="72"/>
      <w:szCs w:val="52"/>
    </w:rPr>
  </w:style>
  <w:style w:type="paragraph" w:customStyle="1" w:styleId="CoverDate">
    <w:name w:val="Cover Date"/>
    <w:rsid w:val="00E4674F"/>
    <w:rPr>
      <w:rFonts w:ascii="Lucida Fax" w:hAnsi="Lucida Fax"/>
      <w:color w:val="DC5034"/>
      <w:sz w:val="2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085663"/>
    <w:pPr>
      <w:ind w:left="720"/>
    </w:pPr>
  </w:style>
  <w:style w:type="paragraph" w:styleId="FootnoteText">
    <w:name w:val="footnote text"/>
    <w:basedOn w:val="Normal"/>
    <w:link w:val="FootnoteTextChar"/>
    <w:uiPriority w:val="2"/>
    <w:rsid w:val="00D73D5F"/>
    <w:pPr>
      <w:tabs>
        <w:tab w:val="left" w:pos="340"/>
      </w:tabs>
      <w:spacing w:before="60"/>
      <w:ind w:left="340" w:hanging="340"/>
    </w:pPr>
    <w:rPr>
      <w:sz w:val="16"/>
      <w:szCs w:val="20"/>
    </w:rPr>
  </w:style>
  <w:style w:type="character" w:customStyle="1" w:styleId="FootnoteTextChar">
    <w:name w:val="Footnote Text Char"/>
    <w:basedOn w:val="DefaultParagraphFont"/>
    <w:link w:val="FootnoteText"/>
    <w:uiPriority w:val="2"/>
    <w:rsid w:val="00D73D5F"/>
    <w:rPr>
      <w:rFonts w:ascii="Arial" w:hAnsi="Arial"/>
      <w:sz w:val="16"/>
      <w:szCs w:val="20"/>
    </w:rPr>
  </w:style>
  <w:style w:type="character" w:styleId="FootnoteReference">
    <w:name w:val="footnote reference"/>
    <w:basedOn w:val="DefaultParagraphFont"/>
    <w:uiPriority w:val="99"/>
    <w:semiHidden/>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uiPriority w:val="39"/>
    <w:rsid w:val="009F4940"/>
    <w:pPr>
      <w:tabs>
        <w:tab w:val="right" w:leader="dot" w:pos="9016"/>
      </w:tabs>
      <w:spacing w:after="100"/>
      <w:ind w:left="1276"/>
    </w:pPr>
    <w:rPr>
      <w:noProof/>
    </w:rPr>
  </w:style>
  <w:style w:type="paragraph" w:styleId="TOC5">
    <w:name w:val="toc 5"/>
    <w:basedOn w:val="Normal"/>
    <w:next w:val="Normal"/>
    <w:uiPriority w:val="39"/>
    <w:rsid w:val="009F4940"/>
    <w:pPr>
      <w:tabs>
        <w:tab w:val="right" w:leader="dot" w:pos="9016"/>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9F4940"/>
    <w:pPr>
      <w:tabs>
        <w:tab w:val="right" w:leader="dot" w:pos="9016"/>
      </w:tabs>
      <w:spacing w:after="100"/>
      <w:ind w:left="2552"/>
    </w:pPr>
    <w:rPr>
      <w:noProof/>
    </w:rPr>
  </w:style>
  <w:style w:type="paragraph" w:styleId="TableofAuthorities">
    <w:name w:val="table of authorities"/>
    <w:basedOn w:val="Normal"/>
    <w:next w:val="Normal"/>
    <w:uiPriority w:val="99"/>
    <w:unhideWhenUsed/>
    <w:rsid w:val="00B60F5D"/>
    <w:pPr>
      <w:ind w:left="220" w:hanging="220"/>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60F5D"/>
    <w:pPr>
      <w:numPr>
        <w:ilvl w:val="8"/>
        <w:numId w:val="12"/>
      </w:numPr>
      <w:tabs>
        <w:tab w:val="left" w:pos="2381"/>
      </w:tabs>
      <w:ind w:left="2381" w:hanging="2381"/>
    </w:pPr>
  </w:style>
  <w:style w:type="paragraph" w:styleId="Caption">
    <w:name w:val="caption"/>
    <w:basedOn w:val="Normal"/>
    <w:next w:val="Normal"/>
    <w:uiPriority w:val="35"/>
    <w:unhideWhenUsed/>
    <w:qFormat/>
    <w:rsid w:val="00B1716D"/>
    <w:pPr>
      <w:spacing w:before="240" w:after="120"/>
    </w:pPr>
    <w:rPr>
      <w:b/>
      <w:bCs/>
      <w:sz w:val="24"/>
      <w:szCs w:val="18"/>
    </w:rPr>
  </w:style>
  <w:style w:type="paragraph" w:styleId="List">
    <w:name w:val="List"/>
    <w:basedOn w:val="Normal"/>
    <w:uiPriority w:val="99"/>
    <w:rsid w:val="00E4674F"/>
    <w:pPr>
      <w:tabs>
        <w:tab w:val="left" w:pos="340"/>
      </w:tabs>
      <w:spacing w:before="120"/>
      <w:ind w:left="340" w:hanging="340"/>
    </w:pPr>
  </w:style>
  <w:style w:type="paragraph" w:styleId="List2">
    <w:name w:val="List 2"/>
    <w:basedOn w:val="Normal"/>
    <w:uiPriority w:val="99"/>
    <w:rsid w:val="00E4674F"/>
    <w:pPr>
      <w:tabs>
        <w:tab w:val="left" w:pos="680"/>
      </w:tabs>
      <w:spacing w:before="120"/>
      <w:ind w:left="680" w:hanging="340"/>
    </w:pPr>
  </w:style>
  <w:style w:type="paragraph" w:styleId="List3">
    <w:name w:val="List 3"/>
    <w:basedOn w:val="Normal"/>
    <w:uiPriority w:val="99"/>
    <w:rsid w:val="00E4674F"/>
    <w:pPr>
      <w:tabs>
        <w:tab w:val="left" w:pos="1021"/>
      </w:tabs>
      <w:spacing w:before="120"/>
      <w:ind w:left="1020" w:hanging="340"/>
    </w:pPr>
  </w:style>
  <w:style w:type="paragraph" w:styleId="List4">
    <w:name w:val="List 4"/>
    <w:basedOn w:val="Normal"/>
    <w:uiPriority w:val="99"/>
    <w:rsid w:val="00E4674F"/>
    <w:pPr>
      <w:tabs>
        <w:tab w:val="left" w:pos="1361"/>
      </w:tabs>
      <w:spacing w:before="120"/>
      <w:ind w:left="1361" w:hanging="340"/>
    </w:pPr>
  </w:style>
  <w:style w:type="paragraph" w:styleId="List5">
    <w:name w:val="List 5"/>
    <w:basedOn w:val="Normal"/>
    <w:uiPriority w:val="99"/>
    <w:rsid w:val="00547CCF"/>
    <w:pPr>
      <w:tabs>
        <w:tab w:val="left" w:pos="1701"/>
      </w:tabs>
      <w:spacing w:before="120"/>
      <w:ind w:left="1701" w:hanging="340"/>
    </w:pPr>
  </w:style>
  <w:style w:type="paragraph" w:styleId="ListBullet3">
    <w:name w:val="List Bullet 3"/>
    <w:basedOn w:val="Normal"/>
    <w:uiPriority w:val="99"/>
    <w:rsid w:val="00181223"/>
    <w:pPr>
      <w:numPr>
        <w:numId w:val="4"/>
      </w:numPr>
      <w:tabs>
        <w:tab w:val="clear" w:pos="926"/>
        <w:tab w:val="num" w:pos="1021"/>
      </w:tabs>
      <w:spacing w:before="120"/>
      <w:ind w:left="1020" w:hanging="340"/>
    </w:pPr>
  </w:style>
  <w:style w:type="paragraph" w:styleId="ListBullet4">
    <w:name w:val="List Bullet 4"/>
    <w:basedOn w:val="Normal"/>
    <w:uiPriority w:val="99"/>
    <w:rsid w:val="00547CCF"/>
    <w:pPr>
      <w:numPr>
        <w:numId w:val="5"/>
      </w:numPr>
      <w:tabs>
        <w:tab w:val="clear" w:pos="1209"/>
        <w:tab w:val="num" w:pos="1361"/>
      </w:tabs>
      <w:spacing w:before="120"/>
      <w:ind w:left="1361" w:hanging="340"/>
    </w:pPr>
  </w:style>
  <w:style w:type="paragraph" w:styleId="ListBullet5">
    <w:name w:val="List Bullet 5"/>
    <w:basedOn w:val="Normal"/>
    <w:uiPriority w:val="99"/>
    <w:rsid w:val="00547CCF"/>
    <w:pPr>
      <w:numPr>
        <w:numId w:val="6"/>
      </w:numPr>
      <w:tabs>
        <w:tab w:val="clear" w:pos="1492"/>
        <w:tab w:val="num" w:pos="1701"/>
      </w:tabs>
      <w:spacing w:before="120"/>
      <w:ind w:left="1701" w:hanging="340"/>
    </w:pPr>
  </w:style>
  <w:style w:type="paragraph" w:styleId="ListContinue">
    <w:name w:val="List Continue"/>
    <w:basedOn w:val="Normal"/>
    <w:uiPriority w:val="99"/>
    <w:rsid w:val="00547CCF"/>
    <w:pPr>
      <w:tabs>
        <w:tab w:val="left" w:pos="340"/>
      </w:tabs>
      <w:spacing w:before="120"/>
      <w:ind w:left="340"/>
    </w:pPr>
  </w:style>
  <w:style w:type="paragraph" w:styleId="ListContinue2">
    <w:name w:val="List Continue 2"/>
    <w:basedOn w:val="Normal"/>
    <w:uiPriority w:val="99"/>
    <w:rsid w:val="00547CCF"/>
    <w:pPr>
      <w:tabs>
        <w:tab w:val="left" w:pos="680"/>
      </w:tabs>
      <w:spacing w:before="120"/>
      <w:ind w:left="680"/>
    </w:pPr>
  </w:style>
  <w:style w:type="paragraph" w:styleId="ListContinue3">
    <w:name w:val="List Continue 3"/>
    <w:basedOn w:val="Normal"/>
    <w:uiPriority w:val="99"/>
    <w:rsid w:val="00547CCF"/>
    <w:pPr>
      <w:tabs>
        <w:tab w:val="left" w:pos="1021"/>
      </w:tabs>
      <w:spacing w:before="120"/>
      <w:ind w:left="1021"/>
    </w:pPr>
  </w:style>
  <w:style w:type="paragraph" w:styleId="ListContinue4">
    <w:name w:val="List Continue 4"/>
    <w:basedOn w:val="Normal"/>
    <w:uiPriority w:val="99"/>
    <w:rsid w:val="00DC542F"/>
    <w:pPr>
      <w:tabs>
        <w:tab w:val="left" w:pos="1361"/>
      </w:tabs>
      <w:spacing w:before="120"/>
      <w:ind w:left="1361"/>
    </w:pPr>
  </w:style>
  <w:style w:type="paragraph" w:styleId="ListNumber3">
    <w:name w:val="List Number 3"/>
    <w:basedOn w:val="Normal"/>
    <w:uiPriority w:val="99"/>
    <w:rsid w:val="00BE4C99"/>
    <w:pPr>
      <w:numPr>
        <w:numId w:val="14"/>
      </w:numPr>
      <w:tabs>
        <w:tab w:val="left" w:pos="1021"/>
      </w:tabs>
      <w:spacing w:before="120"/>
    </w:pPr>
  </w:style>
  <w:style w:type="paragraph" w:styleId="ListNumber4">
    <w:name w:val="List Number 4"/>
    <w:basedOn w:val="Normal"/>
    <w:uiPriority w:val="99"/>
    <w:rsid w:val="00BE4C99"/>
    <w:pPr>
      <w:numPr>
        <w:numId w:val="7"/>
      </w:numPr>
      <w:tabs>
        <w:tab w:val="left" w:pos="1701"/>
      </w:tabs>
      <w:spacing w:before="120"/>
    </w:pPr>
  </w:style>
  <w:style w:type="paragraph" w:styleId="ListNumber5">
    <w:name w:val="List Number 5"/>
    <w:basedOn w:val="Normal"/>
    <w:uiPriority w:val="99"/>
    <w:rsid w:val="00BE4C99"/>
    <w:pPr>
      <w:numPr>
        <w:numId w:val="8"/>
      </w:numPr>
      <w:spacing w:before="120"/>
    </w:pPr>
  </w:style>
  <w:style w:type="table" w:customStyle="1" w:styleId="ACCCTable1">
    <w:name w:val="ACCC Table1"/>
    <w:basedOn w:val="TableNormal"/>
    <w:next w:val="TableGrid"/>
    <w:uiPriority w:val="59"/>
    <w:rsid w:val="000E3A2E"/>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Normal"/>
    <w:link w:val="TableHeading-rightChar"/>
    <w:rsid w:val="00D64AF7"/>
    <w:pPr>
      <w:tabs>
        <w:tab w:val="left" w:pos="680"/>
      </w:tabs>
      <w:spacing w:before="240"/>
      <w:ind w:left="680" w:hanging="680"/>
      <w:jc w:val="right"/>
      <w:outlineLvl w:val="0"/>
    </w:pPr>
    <w:rPr>
      <w:rFonts w:ascii="Lucida Fax" w:eastAsia="Times New Roman" w:hAnsi="Lucida Fax" w:cs="Times New Roman"/>
      <w:color w:val="51626F"/>
      <w:sz w:val="32"/>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rightChar">
    <w:name w:val="Table Heading - right Char"/>
    <w:basedOn w:val="DefaultParagraphFont"/>
    <w:link w:val="TableHeading-right"/>
    <w:rsid w:val="00D64AF7"/>
    <w:rPr>
      <w:rFonts w:ascii="Lucida Fax" w:eastAsia="Times New Roman" w:hAnsi="Lucida Fax" w:cs="Times New Roman"/>
      <w:color w:val="51626F"/>
      <w:sz w:val="32"/>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Normal"/>
    <w:rsid w:val="00D64AF7"/>
    <w:pPr>
      <w:tabs>
        <w:tab w:val="left" w:pos="680"/>
      </w:tabs>
      <w:spacing w:before="240"/>
      <w:ind w:left="680" w:hanging="680"/>
      <w:jc w:val="center"/>
      <w:outlineLvl w:val="0"/>
    </w:pPr>
    <w:rPr>
      <w:rFonts w:ascii="Lucida Fax" w:eastAsia="Times New Roman" w:hAnsi="Lucida Fax" w:cs="Times New Roman"/>
      <w:color w:val="51626F"/>
      <w:sz w:val="32"/>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E4674F"/>
    <w:rPr>
      <w:rFonts w:ascii="Arial" w:hAnsi="Arial"/>
      <w:sz w:val="16"/>
      <w:vertAlign w:val="superscript"/>
    </w:rPr>
  </w:style>
  <w:style w:type="paragraph" w:customStyle="1" w:styleId="Numberedparagraph11">
    <w:name w:val="Numbered paragraph 1.1"/>
    <w:basedOn w:val="Numbered11"/>
    <w:qFormat/>
    <w:rsid w:val="009F2BE5"/>
    <w:pPr>
      <w:ind w:left="680" w:hanging="680"/>
      <w:outlineLvl w:val="9"/>
    </w:pPr>
    <w:rPr>
      <w:b w:val="0"/>
      <w:bCs w:val="0"/>
      <w:color w:val="auto"/>
      <w:sz w:val="22"/>
    </w:rPr>
  </w:style>
  <w:style w:type="character" w:customStyle="1" w:styleId="Numbered1Char">
    <w:name w:val="Numbered 1 Char"/>
    <w:basedOn w:val="Heading1Char"/>
    <w:link w:val="Numbered1"/>
    <w:rsid w:val="00F61B84"/>
    <w:rPr>
      <w:rFonts w:ascii="Lucida Fax" w:eastAsiaTheme="majorEastAsia" w:hAnsi="Lucida Fax" w:cstheme="majorBidi"/>
      <w:bCs/>
      <w:color w:val="51626F"/>
      <w:sz w:val="32"/>
      <w:szCs w:val="28"/>
    </w:rPr>
  </w:style>
  <w:style w:type="paragraph" w:customStyle="1" w:styleId="Numberedparagraph">
    <w:name w:val="Numbered paragraph"/>
    <w:basedOn w:val="Normal"/>
    <w:rsid w:val="00B60F5D"/>
    <w:pPr>
      <w:numPr>
        <w:numId w:val="1"/>
      </w:numPr>
      <w:ind w:left="680" w:hanging="680"/>
    </w:pPr>
    <w:rPr>
      <w:rFonts w:eastAsia="Times New Roman" w:cs="Times New Roman"/>
      <w:color w:val="000000" w:themeColor="text1" w:themeShade="BF"/>
      <w:szCs w:val="20"/>
    </w:rPr>
  </w:style>
  <w:style w:type="paragraph" w:customStyle="1" w:styleId="Listalphabet2">
    <w:name w:val="List alphabet 2"/>
    <w:rsid w:val="00CF799E"/>
    <w:pPr>
      <w:numPr>
        <w:numId w:val="13"/>
      </w:numPr>
      <w:tabs>
        <w:tab w:val="left" w:pos="680"/>
      </w:tabs>
      <w:spacing w:before="120"/>
    </w:pPr>
    <w:rPr>
      <w:rFonts w:ascii="Arial" w:hAnsi="Arial"/>
    </w:rPr>
  </w:style>
  <w:style w:type="paragraph" w:customStyle="1" w:styleId="Listalphabet3">
    <w:name w:val="List alphabet 3"/>
    <w:rsid w:val="00CF799E"/>
    <w:pPr>
      <w:numPr>
        <w:numId w:val="19"/>
      </w:numPr>
      <w:tabs>
        <w:tab w:val="left" w:pos="1021"/>
      </w:tabs>
      <w:spacing w:before="120"/>
    </w:pPr>
    <w:rPr>
      <w:rFonts w:ascii="Arial" w:hAnsi="Arial"/>
    </w:rPr>
  </w:style>
  <w:style w:type="paragraph" w:customStyle="1" w:styleId="Listalphabet4">
    <w:name w:val="List alphabet 4"/>
    <w:rsid w:val="00CF799E"/>
    <w:pPr>
      <w:numPr>
        <w:numId w:val="20"/>
      </w:numPr>
      <w:tabs>
        <w:tab w:val="left" w:pos="1361"/>
      </w:tabs>
      <w:spacing w:before="120"/>
    </w:pPr>
    <w:rPr>
      <w:rFonts w:ascii="Arial" w:hAnsi="Arial"/>
    </w:rPr>
  </w:style>
  <w:style w:type="paragraph" w:customStyle="1" w:styleId="Listalphabet5">
    <w:name w:val="List alphabet 5"/>
    <w:rsid w:val="00CF799E"/>
    <w:pPr>
      <w:numPr>
        <w:numId w:val="21"/>
      </w:numPr>
      <w:tabs>
        <w:tab w:val="left" w:pos="1701"/>
      </w:tabs>
      <w:spacing w:before="120"/>
    </w:pPr>
    <w:rPr>
      <w:rFonts w:ascii="Arial" w:hAnsi="Arial"/>
    </w:rPr>
  </w:style>
  <w:style w:type="paragraph" w:styleId="ListContinue5">
    <w:name w:val="List Continue 5"/>
    <w:basedOn w:val="Normal"/>
    <w:uiPriority w:val="99"/>
    <w:rsid w:val="00DC542F"/>
    <w:pPr>
      <w:tabs>
        <w:tab w:val="left" w:pos="1701"/>
      </w:tabs>
      <w:spacing w:before="120"/>
      <w:ind w:left="1701"/>
    </w:pPr>
  </w:style>
  <w:style w:type="paragraph" w:customStyle="1" w:styleId="Listalphabet">
    <w:name w:val="List alphabet"/>
    <w:qFormat/>
    <w:rsid w:val="003459E6"/>
    <w:pPr>
      <w:numPr>
        <w:numId w:val="22"/>
      </w:numPr>
      <w:tabs>
        <w:tab w:val="left" w:pos="340"/>
      </w:tabs>
      <w:spacing w:before="120"/>
    </w:pPr>
    <w:rPr>
      <w:rFonts w:ascii="Arial" w:hAnsi="Arial"/>
    </w:rPr>
  </w:style>
  <w:style w:type="paragraph" w:styleId="NoteHeading">
    <w:name w:val="Note Heading"/>
    <w:basedOn w:val="Normal"/>
    <w:next w:val="Normal"/>
    <w:link w:val="NoteHeadingChar"/>
    <w:uiPriority w:val="99"/>
    <w:semiHidden/>
    <w:unhideWhenUsed/>
    <w:rsid w:val="00F61B84"/>
    <w:pPr>
      <w:spacing w:before="0"/>
    </w:pPr>
  </w:style>
  <w:style w:type="character" w:customStyle="1" w:styleId="NoteHeadingChar">
    <w:name w:val="Note Heading Char"/>
    <w:basedOn w:val="DefaultParagraphFont"/>
    <w:link w:val="NoteHeading"/>
    <w:uiPriority w:val="99"/>
    <w:semiHidden/>
    <w:rsid w:val="00F61B84"/>
    <w:rPr>
      <w:rFonts w:ascii="Arial" w:hAnsi="Arial"/>
    </w:rPr>
  </w:style>
  <w:style w:type="character" w:styleId="SubtleReference">
    <w:name w:val="Subtle Reference"/>
    <w:basedOn w:val="DefaultParagraphFont"/>
    <w:uiPriority w:val="31"/>
    <w:unhideWhenUsed/>
    <w:rsid w:val="00B60F5D"/>
    <w:rPr>
      <w:smallCaps/>
      <w:color w:val="4F2D7D" w:themeColor="accent2"/>
      <w:u w:val="single"/>
    </w:rPr>
  </w:style>
  <w:style w:type="paragraph" w:customStyle="1" w:styleId="ListLegal">
    <w:name w:val="List Legal"/>
    <w:basedOn w:val="ListParagraph"/>
    <w:rsid w:val="00CF799E"/>
    <w:pPr>
      <w:numPr>
        <w:numId w:val="25"/>
      </w:numPr>
      <w:tabs>
        <w:tab w:val="clear" w:pos="340"/>
        <w:tab w:val="left" w:pos="680"/>
      </w:tabs>
    </w:pPr>
  </w:style>
  <w:style w:type="paragraph" w:customStyle="1" w:styleId="ListLegal2">
    <w:name w:val="List Legal 2"/>
    <w:basedOn w:val="ListLegal"/>
    <w:rsid w:val="00C06739"/>
    <w:pPr>
      <w:numPr>
        <w:numId w:val="16"/>
      </w:numPr>
      <w:tabs>
        <w:tab w:val="clear" w:pos="680"/>
        <w:tab w:val="left" w:pos="1021"/>
      </w:tabs>
    </w:pPr>
  </w:style>
  <w:style w:type="paragraph" w:customStyle="1" w:styleId="ListLegal3">
    <w:name w:val="List Legal 3"/>
    <w:basedOn w:val="ListNumber3"/>
    <w:rsid w:val="00CF799E"/>
    <w:pPr>
      <w:numPr>
        <w:numId w:val="15"/>
      </w:numPr>
      <w:tabs>
        <w:tab w:val="clear" w:pos="1021"/>
        <w:tab w:val="left" w:pos="1361"/>
      </w:tabs>
    </w:pPr>
  </w:style>
  <w:style w:type="paragraph" w:customStyle="1" w:styleId="ListLegal4">
    <w:name w:val="List Legal 4"/>
    <w:basedOn w:val="ListLegal3"/>
    <w:rsid w:val="00CF799E"/>
    <w:pPr>
      <w:numPr>
        <w:numId w:val="17"/>
      </w:numPr>
      <w:tabs>
        <w:tab w:val="clear" w:pos="1361"/>
        <w:tab w:val="left" w:pos="1701"/>
      </w:tabs>
    </w:pPr>
  </w:style>
  <w:style w:type="paragraph" w:customStyle="1" w:styleId="ListLegal5">
    <w:name w:val="List Legal 5"/>
    <w:basedOn w:val="ListLegal4"/>
    <w:rsid w:val="000F2368"/>
    <w:pPr>
      <w:numPr>
        <w:numId w:val="26"/>
      </w:numPr>
      <w:tabs>
        <w:tab w:val="clear" w:pos="1701"/>
        <w:tab w:val="left" w:pos="2041"/>
      </w:tabs>
    </w:pPr>
  </w:style>
  <w:style w:type="paragraph" w:customStyle="1" w:styleId="LegalNumbering">
    <w:name w:val="Legal Numbering"/>
    <w:basedOn w:val="Normal"/>
    <w:qFormat/>
    <w:rsid w:val="0002115F"/>
    <w:pPr>
      <w:numPr>
        <w:numId w:val="18"/>
      </w:numPr>
      <w:tabs>
        <w:tab w:val="left" w:pos="340"/>
        <w:tab w:val="left" w:pos="680"/>
        <w:tab w:val="left" w:pos="1021"/>
        <w:tab w:val="left" w:pos="1361"/>
      </w:tabs>
    </w:pPr>
  </w:style>
  <w:style w:type="table" w:customStyle="1" w:styleId="LightShading11">
    <w:name w:val="Light Shading11"/>
    <w:basedOn w:val="TableNormal"/>
    <w:next w:val="LightShading"/>
    <w:uiPriority w:val="60"/>
    <w:rsid w:val="00687F39"/>
    <w:pPr>
      <w:spacing w:before="120" w:after="120"/>
    </w:pPr>
    <w:rPr>
      <w:color w:val="000000" w:themeColor="text1" w:themeShade="BF"/>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b w:val="0"/>
        <w:bCs/>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224EBF"/>
    <w:pPr>
      <w:spacing w:before="0"/>
    </w:pPr>
    <w:rPr>
      <w:rFonts w:ascii="Times New Roman" w:eastAsia="Times New Roman" w:hAnsi="Times New Roman" w:cs="Times New Roman"/>
      <w:sz w:val="24"/>
      <w:szCs w:val="24"/>
      <w:lang w:eastAsia="en-AU"/>
    </w:rPr>
  </w:style>
  <w:style w:type="paragraph" w:customStyle="1" w:styleId="Default">
    <w:name w:val="Default"/>
    <w:rsid w:val="00AF34EA"/>
    <w:pPr>
      <w:autoSpaceDE w:val="0"/>
      <w:autoSpaceDN w:val="0"/>
      <w:adjustRightInd w:val="0"/>
      <w:spacing w:before="0"/>
    </w:pPr>
    <w:rPr>
      <w:rFonts w:ascii="Univers 45 Light" w:hAnsi="Univers 45 Light" w:cs="Univers 45 Light"/>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3B5A70"/>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next w:val="Normal"/>
    <w:link w:val="Heading2Char"/>
    <w:qFormat/>
    <w:rsid w:val="009D6B46"/>
    <w:pPr>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uiPriority w:val="2"/>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2"/>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2"/>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2"/>
    <w:qFormat/>
    <w:rsid w:val="009D6B46"/>
    <w:pPr>
      <w:spacing w:before="240"/>
      <w:outlineLvl w:val="7"/>
    </w:pPr>
    <w:rPr>
      <w:rFonts w:eastAsiaTheme="majorEastAsia" w:cstheme="majorBidi"/>
      <w:color w:val="51626F" w:themeColor="accent1"/>
      <w:szCs w:val="20"/>
    </w:rPr>
  </w:style>
  <w:style w:type="paragraph" w:styleId="Heading9">
    <w:name w:val="heading 9"/>
    <w:aliases w:val="Numbered Table"/>
    <w:basedOn w:val="Normal"/>
    <w:next w:val="Normal"/>
    <w:link w:val="Heading9Char"/>
    <w:uiPriority w:val="2"/>
    <w:qFormat/>
    <w:rsid w:val="00D64AF7"/>
    <w:pPr>
      <w:numPr>
        <w:numId w:val="27"/>
      </w:numPr>
      <w:tabs>
        <w:tab w:val="left" w:pos="340"/>
      </w:tabs>
      <w:spacing w:before="240" w:after="120"/>
      <w:outlineLvl w:val="8"/>
    </w:pPr>
    <w:rPr>
      <w:rFonts w:eastAsiaTheme="majorEastAsia" w:cstheme="majorBidi"/>
      <w:b/>
      <w:iCs/>
      <w:color w:val="000000" w:themeColor="text1"/>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basedOn w:val="DefaultParagraphFont"/>
    <w:link w:val="Heading2"/>
    <w:rsid w:val="009D6B46"/>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uiPriority w:val="2"/>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2"/>
    <w:rsid w:val="009D6B46"/>
    <w:rPr>
      <w:rFonts w:ascii="Arial" w:eastAsiaTheme="majorEastAsia" w:hAnsi="Arial" w:cstheme="majorBidi"/>
      <w:b/>
      <w:i/>
      <w:iCs/>
    </w:rPr>
  </w:style>
  <w:style w:type="paragraph" w:customStyle="1" w:styleId="Chaptertitle">
    <w:name w:val="Chapter title"/>
    <w:basedOn w:val="Normal"/>
    <w:link w:val="ChaptertitleChar"/>
    <w:rsid w:val="0088007E"/>
    <w:pPr>
      <w:spacing w:before="520" w:after="120"/>
    </w:pPr>
    <w:rPr>
      <w:rFonts w:ascii="Lucida Fax" w:hAnsi="Lucida Fax"/>
      <w:color w:val="4F2D7F"/>
      <w:sz w:val="52"/>
      <w:szCs w:val="52"/>
    </w:rPr>
  </w:style>
  <w:style w:type="character" w:customStyle="1" w:styleId="ChaptertitleChar">
    <w:name w:val="Chapter title Char"/>
    <w:basedOn w:val="DefaultParagraphFont"/>
    <w:link w:val="Chaptertitle"/>
    <w:rsid w:val="0088007E"/>
    <w:rPr>
      <w:rFonts w:ascii="Lucida Fax" w:hAnsi="Lucida Fax"/>
      <w:color w:val="4F2D7F"/>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uiPriority w:val="39"/>
    <w:rsid w:val="009F4940"/>
    <w:pPr>
      <w:tabs>
        <w:tab w:val="right" w:leader="dot" w:pos="9016"/>
      </w:tabs>
      <w:spacing w:after="100"/>
      <w:ind w:left="2977"/>
    </w:pPr>
    <w:rPr>
      <w:noProof/>
    </w:rPr>
  </w:style>
  <w:style w:type="paragraph" w:styleId="TOC9">
    <w:name w:val="toc 9"/>
    <w:basedOn w:val="Normal"/>
    <w:next w:val="Normal"/>
    <w:uiPriority w:val="39"/>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F61B84"/>
    <w:pPr>
      <w:numPr>
        <w:numId w:val="12"/>
      </w:numPr>
      <w:tabs>
        <w:tab w:val="left" w:pos="680"/>
      </w:tabs>
      <w:ind w:left="680" w:hanging="680"/>
    </w:pPr>
  </w:style>
  <w:style w:type="paragraph" w:customStyle="1" w:styleId="Numbered11">
    <w:name w:val="Numbered 1.1"/>
    <w:basedOn w:val="Heading2"/>
    <w:next w:val="Normal"/>
    <w:qFormat/>
    <w:rsid w:val="000E3A2E"/>
    <w:pPr>
      <w:numPr>
        <w:ilvl w:val="1"/>
        <w:numId w:val="12"/>
      </w:numPr>
      <w:tabs>
        <w:tab w:val="left" w:pos="1021"/>
      </w:tabs>
      <w:ind w:left="1021" w:hanging="1021"/>
    </w:pPr>
    <w:rPr>
      <w:rFonts w:cs="Arial"/>
    </w:rPr>
  </w:style>
  <w:style w:type="paragraph" w:customStyle="1" w:styleId="Numbered111">
    <w:name w:val="Numbered 1.1.1"/>
    <w:basedOn w:val="Heading3"/>
    <w:next w:val="Normal"/>
    <w:qFormat/>
    <w:rsid w:val="009F2BE5"/>
    <w:pPr>
      <w:numPr>
        <w:ilvl w:val="2"/>
        <w:numId w:val="12"/>
      </w:numPr>
      <w:tabs>
        <w:tab w:val="left" w:pos="1361"/>
      </w:tabs>
      <w:ind w:left="1021" w:hanging="1021"/>
      <w:contextualSpacing/>
    </w:pPr>
  </w:style>
  <w:style w:type="paragraph" w:customStyle="1" w:styleId="Numbered1111">
    <w:name w:val="Numbered 1.1.1.1"/>
    <w:basedOn w:val="Heading4"/>
    <w:next w:val="Normal"/>
    <w:rsid w:val="00F61B84"/>
    <w:pPr>
      <w:numPr>
        <w:ilvl w:val="3"/>
        <w:numId w:val="12"/>
      </w:numPr>
      <w:tabs>
        <w:tab w:val="left" w:pos="1361"/>
      </w:tabs>
      <w:ind w:left="1361" w:hanging="1361"/>
    </w:pPr>
  </w:style>
  <w:style w:type="paragraph" w:customStyle="1" w:styleId="Numbered11111">
    <w:name w:val="Numbered 1.1.1.1.1"/>
    <w:basedOn w:val="Heading5"/>
    <w:next w:val="Normal"/>
    <w:uiPriority w:val="2"/>
    <w:rsid w:val="00F61B84"/>
    <w:pPr>
      <w:numPr>
        <w:ilvl w:val="4"/>
        <w:numId w:val="12"/>
      </w:numPr>
      <w:tabs>
        <w:tab w:val="left" w:pos="1701"/>
      </w:tabs>
      <w:ind w:left="1701" w:hanging="1701"/>
    </w:pPr>
  </w:style>
  <w:style w:type="paragraph" w:customStyle="1" w:styleId="Numbered111111">
    <w:name w:val="Numbered 1.1.1.1.1.1"/>
    <w:basedOn w:val="Heading6"/>
    <w:next w:val="Normal"/>
    <w:uiPriority w:val="2"/>
    <w:rsid w:val="00F61B84"/>
    <w:pPr>
      <w:numPr>
        <w:ilvl w:val="5"/>
        <w:numId w:val="12"/>
      </w:numPr>
      <w:tabs>
        <w:tab w:val="left" w:pos="1701"/>
      </w:tabs>
      <w:ind w:left="1701" w:hanging="1701"/>
    </w:pPr>
  </w:style>
  <w:style w:type="paragraph" w:styleId="Header">
    <w:name w:val="header"/>
    <w:basedOn w:val="Normal"/>
    <w:link w:val="HeaderChar"/>
    <w:uiPriority w:val="99"/>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rsid w:val="005C26CC"/>
    <w:rPr>
      <w:sz w:val="24"/>
    </w:rPr>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E4674F"/>
    <w:pPr>
      <w:numPr>
        <w:numId w:val="2"/>
      </w:numPr>
      <w:ind w:left="340" w:hanging="340"/>
    </w:pPr>
    <w:rPr>
      <w:rFonts w:cs="Times New Roman"/>
    </w:rPr>
  </w:style>
  <w:style w:type="paragraph" w:styleId="ListBullet">
    <w:name w:val="List Bullet"/>
    <w:basedOn w:val="Normal"/>
    <w:uiPriority w:val="99"/>
    <w:rsid w:val="00DC542F"/>
    <w:pPr>
      <w:numPr>
        <w:numId w:val="10"/>
      </w:numPr>
      <w:tabs>
        <w:tab w:val="left" w:pos="340"/>
      </w:tabs>
      <w:spacing w:before="120"/>
      <w:ind w:left="340" w:hanging="340"/>
    </w:pPr>
  </w:style>
  <w:style w:type="paragraph" w:customStyle="1" w:styleId="Bulletpoint2">
    <w:name w:val="Bullet point 2"/>
    <w:basedOn w:val="ListBullet2"/>
    <w:uiPriority w:val="1"/>
    <w:qFormat/>
    <w:rsid w:val="00E4674F"/>
    <w:pPr>
      <w:numPr>
        <w:numId w:val="9"/>
      </w:numPr>
      <w:tabs>
        <w:tab w:val="left" w:pos="680"/>
      </w:tabs>
      <w:ind w:left="680" w:hanging="340"/>
    </w:pPr>
  </w:style>
  <w:style w:type="paragraph" w:styleId="ListNumber">
    <w:name w:val="List Number"/>
    <w:basedOn w:val="Normal"/>
    <w:uiPriority w:val="99"/>
    <w:rsid w:val="000F2368"/>
    <w:pPr>
      <w:numPr>
        <w:numId w:val="23"/>
      </w:numPr>
      <w:spacing w:before="120"/>
    </w:pPr>
    <w:rPr>
      <w:color w:val="000000" w:themeColor="text1" w:themeShade="BF"/>
    </w:rPr>
  </w:style>
  <w:style w:type="paragraph" w:styleId="ListBullet2">
    <w:name w:val="List Bullet 2"/>
    <w:basedOn w:val="Normal"/>
    <w:uiPriority w:val="99"/>
    <w:rsid w:val="00DC542F"/>
    <w:pPr>
      <w:numPr>
        <w:numId w:val="3"/>
      </w:numPr>
      <w:tabs>
        <w:tab w:val="clear" w:pos="643"/>
        <w:tab w:val="num" w:pos="680"/>
      </w:tabs>
      <w:spacing w:before="120"/>
      <w:ind w:left="680" w:hanging="340"/>
    </w:pPr>
  </w:style>
  <w:style w:type="paragraph" w:styleId="TOCHeading">
    <w:name w:val="TOC Heading"/>
    <w:basedOn w:val="Normal"/>
    <w:next w:val="Normal"/>
    <w:uiPriority w:val="39"/>
    <w:qFormat/>
    <w:rsid w:val="00E04818"/>
    <w:pPr>
      <w:spacing w:before="480" w:after="120" w:line="276" w:lineRule="auto"/>
    </w:pPr>
    <w:rPr>
      <w:rFonts w:ascii="Lucida Fax" w:eastAsiaTheme="majorEastAsia" w:hAnsi="Lucida Fax" w:cstheme="majorBidi"/>
      <w:bCs/>
      <w:color w:val="51626F"/>
      <w:sz w:val="32"/>
      <w:szCs w:val="28"/>
      <w:lang w:val="en-US" w:eastAsia="ja-JP"/>
    </w:rPr>
  </w:style>
  <w:style w:type="paragraph" w:styleId="ListNumber2">
    <w:name w:val="List Number 2"/>
    <w:next w:val="Normal"/>
    <w:uiPriority w:val="99"/>
    <w:rsid w:val="00BE4C99"/>
    <w:pPr>
      <w:numPr>
        <w:numId w:val="24"/>
      </w:numPr>
      <w:tabs>
        <w:tab w:val="left" w:pos="680"/>
      </w:tabs>
      <w:spacing w:before="120"/>
    </w:pPr>
    <w:rPr>
      <w:rFonts w:ascii="Arial" w:hAnsi="Arial"/>
    </w:r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F61B84"/>
    <w:pPr>
      <w:numPr>
        <w:numId w:val="11"/>
      </w:numPr>
      <w:tabs>
        <w:tab w:val="left" w:pos="340"/>
      </w:tabs>
      <w:spacing w:before="120"/>
    </w:pPr>
  </w:style>
  <w:style w:type="character" w:customStyle="1" w:styleId="Heading7Char">
    <w:name w:val="Heading 7 Char"/>
    <w:basedOn w:val="DefaultParagraphFont"/>
    <w:link w:val="Heading7"/>
    <w:uiPriority w:val="2"/>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uiPriority w:val="2"/>
    <w:rsid w:val="009D6B46"/>
    <w:rPr>
      <w:rFonts w:ascii="Arial" w:eastAsiaTheme="majorEastAsia" w:hAnsi="Arial" w:cstheme="majorBidi"/>
      <w:color w:val="51626F" w:themeColor="accent1"/>
      <w:szCs w:val="20"/>
    </w:rPr>
  </w:style>
  <w:style w:type="character" w:customStyle="1" w:styleId="Heading9Char">
    <w:name w:val="Heading 9 Char"/>
    <w:aliases w:val="Numbered Table Char"/>
    <w:basedOn w:val="DefaultParagraphFont"/>
    <w:link w:val="Heading9"/>
    <w:uiPriority w:val="2"/>
    <w:rsid w:val="00D64AF7"/>
    <w:rPr>
      <w:rFonts w:ascii="Arial" w:eastAsiaTheme="majorEastAsia" w:hAnsi="Arial" w:cstheme="majorBidi"/>
      <w:b/>
      <w:iCs/>
      <w:color w:val="000000" w:themeColor="text1"/>
      <w:sz w:val="24"/>
      <w:szCs w:val="20"/>
    </w:rPr>
  </w:style>
  <w:style w:type="paragraph" w:customStyle="1" w:styleId="Numbered1111111">
    <w:name w:val="Numbered 1.1.1.1.1.1.1"/>
    <w:basedOn w:val="Heading7"/>
    <w:next w:val="Normal"/>
    <w:uiPriority w:val="2"/>
    <w:rsid w:val="00F61B84"/>
    <w:pPr>
      <w:numPr>
        <w:ilvl w:val="6"/>
        <w:numId w:val="12"/>
      </w:numPr>
      <w:tabs>
        <w:tab w:val="left" w:pos="2041"/>
      </w:tabs>
      <w:ind w:left="2041" w:hanging="2041"/>
    </w:pPr>
  </w:style>
  <w:style w:type="paragraph" w:customStyle="1" w:styleId="Numbered11111111">
    <w:name w:val="Numbered 1.1.1.1.1.1.1.1"/>
    <w:basedOn w:val="Heading8"/>
    <w:next w:val="Normal"/>
    <w:uiPriority w:val="2"/>
    <w:rsid w:val="00F61B84"/>
    <w:pPr>
      <w:numPr>
        <w:ilvl w:val="7"/>
        <w:numId w:val="12"/>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semiHidden/>
    <w:unhideWhenUsed/>
    <w:rsid w:val="005C26CC"/>
    <w:pPr>
      <w:spacing w:after="120"/>
    </w:pPr>
    <w:rPr>
      <w:szCs w:val="16"/>
    </w:rPr>
  </w:style>
  <w:style w:type="character" w:customStyle="1" w:styleId="BodyText3Char">
    <w:name w:val="Body Text 3 Char"/>
    <w:basedOn w:val="DefaultParagraphFont"/>
    <w:link w:val="BodyText3"/>
    <w:uiPriority w:val="99"/>
    <w:semiHidden/>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4F2D7D"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4F2D7D" w:themeColor="accent2"/>
      <w:spacing w:val="5"/>
      <w:kern w:val="28"/>
      <w:sz w:val="72"/>
      <w:szCs w:val="52"/>
    </w:rPr>
  </w:style>
  <w:style w:type="paragraph" w:customStyle="1" w:styleId="CoverDate">
    <w:name w:val="Cover Date"/>
    <w:rsid w:val="00E4674F"/>
    <w:rPr>
      <w:rFonts w:ascii="Lucida Fax" w:hAnsi="Lucida Fax"/>
      <w:color w:val="DC5034"/>
      <w:sz w:val="2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085663"/>
    <w:pPr>
      <w:ind w:left="720"/>
    </w:pPr>
  </w:style>
  <w:style w:type="paragraph" w:styleId="FootnoteText">
    <w:name w:val="footnote text"/>
    <w:basedOn w:val="Normal"/>
    <w:link w:val="FootnoteTextChar"/>
    <w:uiPriority w:val="2"/>
    <w:rsid w:val="00D73D5F"/>
    <w:pPr>
      <w:tabs>
        <w:tab w:val="left" w:pos="340"/>
      </w:tabs>
      <w:spacing w:before="60"/>
      <w:ind w:left="340" w:hanging="340"/>
    </w:pPr>
    <w:rPr>
      <w:sz w:val="16"/>
      <w:szCs w:val="20"/>
    </w:rPr>
  </w:style>
  <w:style w:type="character" w:customStyle="1" w:styleId="FootnoteTextChar">
    <w:name w:val="Footnote Text Char"/>
    <w:basedOn w:val="DefaultParagraphFont"/>
    <w:link w:val="FootnoteText"/>
    <w:uiPriority w:val="2"/>
    <w:rsid w:val="00D73D5F"/>
    <w:rPr>
      <w:rFonts w:ascii="Arial" w:hAnsi="Arial"/>
      <w:sz w:val="16"/>
      <w:szCs w:val="20"/>
    </w:rPr>
  </w:style>
  <w:style w:type="character" w:styleId="FootnoteReference">
    <w:name w:val="footnote reference"/>
    <w:basedOn w:val="DefaultParagraphFont"/>
    <w:uiPriority w:val="99"/>
    <w:semiHidden/>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uiPriority w:val="39"/>
    <w:rsid w:val="009F4940"/>
    <w:pPr>
      <w:tabs>
        <w:tab w:val="right" w:leader="dot" w:pos="9016"/>
      </w:tabs>
      <w:spacing w:after="100"/>
      <w:ind w:left="1276"/>
    </w:pPr>
    <w:rPr>
      <w:noProof/>
    </w:rPr>
  </w:style>
  <w:style w:type="paragraph" w:styleId="TOC5">
    <w:name w:val="toc 5"/>
    <w:basedOn w:val="Normal"/>
    <w:next w:val="Normal"/>
    <w:uiPriority w:val="39"/>
    <w:rsid w:val="009F4940"/>
    <w:pPr>
      <w:tabs>
        <w:tab w:val="right" w:leader="dot" w:pos="9016"/>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9F4940"/>
    <w:pPr>
      <w:tabs>
        <w:tab w:val="right" w:leader="dot" w:pos="9016"/>
      </w:tabs>
      <w:spacing w:after="100"/>
      <w:ind w:left="2552"/>
    </w:pPr>
    <w:rPr>
      <w:noProof/>
    </w:rPr>
  </w:style>
  <w:style w:type="paragraph" w:styleId="TableofAuthorities">
    <w:name w:val="table of authorities"/>
    <w:basedOn w:val="Normal"/>
    <w:next w:val="Normal"/>
    <w:uiPriority w:val="99"/>
    <w:unhideWhenUsed/>
    <w:rsid w:val="00B60F5D"/>
    <w:pPr>
      <w:ind w:left="220" w:hanging="220"/>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60F5D"/>
    <w:pPr>
      <w:numPr>
        <w:ilvl w:val="8"/>
        <w:numId w:val="12"/>
      </w:numPr>
      <w:tabs>
        <w:tab w:val="left" w:pos="2381"/>
      </w:tabs>
      <w:ind w:left="2381" w:hanging="2381"/>
    </w:pPr>
  </w:style>
  <w:style w:type="paragraph" w:styleId="Caption">
    <w:name w:val="caption"/>
    <w:basedOn w:val="Normal"/>
    <w:next w:val="Normal"/>
    <w:uiPriority w:val="35"/>
    <w:unhideWhenUsed/>
    <w:qFormat/>
    <w:rsid w:val="00B1716D"/>
    <w:pPr>
      <w:spacing w:before="240" w:after="120"/>
    </w:pPr>
    <w:rPr>
      <w:b/>
      <w:bCs/>
      <w:sz w:val="24"/>
      <w:szCs w:val="18"/>
    </w:rPr>
  </w:style>
  <w:style w:type="paragraph" w:styleId="List">
    <w:name w:val="List"/>
    <w:basedOn w:val="Normal"/>
    <w:uiPriority w:val="99"/>
    <w:rsid w:val="00E4674F"/>
    <w:pPr>
      <w:tabs>
        <w:tab w:val="left" w:pos="340"/>
      </w:tabs>
      <w:spacing w:before="120"/>
      <w:ind w:left="340" w:hanging="340"/>
    </w:pPr>
  </w:style>
  <w:style w:type="paragraph" w:styleId="List2">
    <w:name w:val="List 2"/>
    <w:basedOn w:val="Normal"/>
    <w:uiPriority w:val="99"/>
    <w:rsid w:val="00E4674F"/>
    <w:pPr>
      <w:tabs>
        <w:tab w:val="left" w:pos="680"/>
      </w:tabs>
      <w:spacing w:before="120"/>
      <w:ind w:left="680" w:hanging="340"/>
    </w:pPr>
  </w:style>
  <w:style w:type="paragraph" w:styleId="List3">
    <w:name w:val="List 3"/>
    <w:basedOn w:val="Normal"/>
    <w:uiPriority w:val="99"/>
    <w:rsid w:val="00E4674F"/>
    <w:pPr>
      <w:tabs>
        <w:tab w:val="left" w:pos="1021"/>
      </w:tabs>
      <w:spacing w:before="120"/>
      <w:ind w:left="1020" w:hanging="340"/>
    </w:pPr>
  </w:style>
  <w:style w:type="paragraph" w:styleId="List4">
    <w:name w:val="List 4"/>
    <w:basedOn w:val="Normal"/>
    <w:uiPriority w:val="99"/>
    <w:rsid w:val="00E4674F"/>
    <w:pPr>
      <w:tabs>
        <w:tab w:val="left" w:pos="1361"/>
      </w:tabs>
      <w:spacing w:before="120"/>
      <w:ind w:left="1361" w:hanging="340"/>
    </w:pPr>
  </w:style>
  <w:style w:type="paragraph" w:styleId="List5">
    <w:name w:val="List 5"/>
    <w:basedOn w:val="Normal"/>
    <w:uiPriority w:val="99"/>
    <w:rsid w:val="00547CCF"/>
    <w:pPr>
      <w:tabs>
        <w:tab w:val="left" w:pos="1701"/>
      </w:tabs>
      <w:spacing w:before="120"/>
      <w:ind w:left="1701" w:hanging="340"/>
    </w:pPr>
  </w:style>
  <w:style w:type="paragraph" w:styleId="ListBullet3">
    <w:name w:val="List Bullet 3"/>
    <w:basedOn w:val="Normal"/>
    <w:uiPriority w:val="99"/>
    <w:rsid w:val="00181223"/>
    <w:pPr>
      <w:numPr>
        <w:numId w:val="4"/>
      </w:numPr>
      <w:tabs>
        <w:tab w:val="clear" w:pos="926"/>
        <w:tab w:val="num" w:pos="1021"/>
      </w:tabs>
      <w:spacing w:before="120"/>
      <w:ind w:left="1020" w:hanging="340"/>
    </w:pPr>
  </w:style>
  <w:style w:type="paragraph" w:styleId="ListBullet4">
    <w:name w:val="List Bullet 4"/>
    <w:basedOn w:val="Normal"/>
    <w:uiPriority w:val="99"/>
    <w:rsid w:val="00547CCF"/>
    <w:pPr>
      <w:numPr>
        <w:numId w:val="5"/>
      </w:numPr>
      <w:tabs>
        <w:tab w:val="clear" w:pos="1209"/>
        <w:tab w:val="num" w:pos="1361"/>
      </w:tabs>
      <w:spacing w:before="120"/>
      <w:ind w:left="1361" w:hanging="340"/>
    </w:pPr>
  </w:style>
  <w:style w:type="paragraph" w:styleId="ListBullet5">
    <w:name w:val="List Bullet 5"/>
    <w:basedOn w:val="Normal"/>
    <w:uiPriority w:val="99"/>
    <w:rsid w:val="00547CCF"/>
    <w:pPr>
      <w:numPr>
        <w:numId w:val="6"/>
      </w:numPr>
      <w:tabs>
        <w:tab w:val="clear" w:pos="1492"/>
        <w:tab w:val="num" w:pos="1701"/>
      </w:tabs>
      <w:spacing w:before="120"/>
      <w:ind w:left="1701" w:hanging="340"/>
    </w:pPr>
  </w:style>
  <w:style w:type="paragraph" w:styleId="ListContinue">
    <w:name w:val="List Continue"/>
    <w:basedOn w:val="Normal"/>
    <w:uiPriority w:val="99"/>
    <w:rsid w:val="00547CCF"/>
    <w:pPr>
      <w:tabs>
        <w:tab w:val="left" w:pos="340"/>
      </w:tabs>
      <w:spacing w:before="120"/>
      <w:ind w:left="340"/>
    </w:pPr>
  </w:style>
  <w:style w:type="paragraph" w:styleId="ListContinue2">
    <w:name w:val="List Continue 2"/>
    <w:basedOn w:val="Normal"/>
    <w:uiPriority w:val="99"/>
    <w:rsid w:val="00547CCF"/>
    <w:pPr>
      <w:tabs>
        <w:tab w:val="left" w:pos="680"/>
      </w:tabs>
      <w:spacing w:before="120"/>
      <w:ind w:left="680"/>
    </w:pPr>
  </w:style>
  <w:style w:type="paragraph" w:styleId="ListContinue3">
    <w:name w:val="List Continue 3"/>
    <w:basedOn w:val="Normal"/>
    <w:uiPriority w:val="99"/>
    <w:rsid w:val="00547CCF"/>
    <w:pPr>
      <w:tabs>
        <w:tab w:val="left" w:pos="1021"/>
      </w:tabs>
      <w:spacing w:before="120"/>
      <w:ind w:left="1021"/>
    </w:pPr>
  </w:style>
  <w:style w:type="paragraph" w:styleId="ListContinue4">
    <w:name w:val="List Continue 4"/>
    <w:basedOn w:val="Normal"/>
    <w:uiPriority w:val="99"/>
    <w:rsid w:val="00DC542F"/>
    <w:pPr>
      <w:tabs>
        <w:tab w:val="left" w:pos="1361"/>
      </w:tabs>
      <w:spacing w:before="120"/>
      <w:ind w:left="1361"/>
    </w:pPr>
  </w:style>
  <w:style w:type="paragraph" w:styleId="ListNumber3">
    <w:name w:val="List Number 3"/>
    <w:basedOn w:val="Normal"/>
    <w:uiPriority w:val="99"/>
    <w:rsid w:val="00BE4C99"/>
    <w:pPr>
      <w:numPr>
        <w:numId w:val="14"/>
      </w:numPr>
      <w:tabs>
        <w:tab w:val="left" w:pos="1021"/>
      </w:tabs>
      <w:spacing w:before="120"/>
    </w:pPr>
  </w:style>
  <w:style w:type="paragraph" w:styleId="ListNumber4">
    <w:name w:val="List Number 4"/>
    <w:basedOn w:val="Normal"/>
    <w:uiPriority w:val="99"/>
    <w:rsid w:val="00BE4C99"/>
    <w:pPr>
      <w:numPr>
        <w:numId w:val="7"/>
      </w:numPr>
      <w:tabs>
        <w:tab w:val="left" w:pos="1701"/>
      </w:tabs>
      <w:spacing w:before="120"/>
    </w:pPr>
  </w:style>
  <w:style w:type="paragraph" w:styleId="ListNumber5">
    <w:name w:val="List Number 5"/>
    <w:basedOn w:val="Normal"/>
    <w:uiPriority w:val="99"/>
    <w:rsid w:val="00BE4C99"/>
    <w:pPr>
      <w:numPr>
        <w:numId w:val="8"/>
      </w:numPr>
      <w:spacing w:before="120"/>
    </w:pPr>
  </w:style>
  <w:style w:type="table" w:customStyle="1" w:styleId="ACCCTable1">
    <w:name w:val="ACCC Table1"/>
    <w:basedOn w:val="TableNormal"/>
    <w:next w:val="TableGrid"/>
    <w:uiPriority w:val="59"/>
    <w:rsid w:val="000E3A2E"/>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Normal"/>
    <w:link w:val="TableHeading-rightChar"/>
    <w:rsid w:val="00D64AF7"/>
    <w:pPr>
      <w:tabs>
        <w:tab w:val="left" w:pos="680"/>
      </w:tabs>
      <w:spacing w:before="240"/>
      <w:ind w:left="680" w:hanging="680"/>
      <w:jc w:val="right"/>
      <w:outlineLvl w:val="0"/>
    </w:pPr>
    <w:rPr>
      <w:rFonts w:ascii="Lucida Fax" w:eastAsia="Times New Roman" w:hAnsi="Lucida Fax" w:cs="Times New Roman"/>
      <w:color w:val="51626F"/>
      <w:sz w:val="32"/>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rightChar">
    <w:name w:val="Table Heading - right Char"/>
    <w:basedOn w:val="DefaultParagraphFont"/>
    <w:link w:val="TableHeading-right"/>
    <w:rsid w:val="00D64AF7"/>
    <w:rPr>
      <w:rFonts w:ascii="Lucida Fax" w:eastAsia="Times New Roman" w:hAnsi="Lucida Fax" w:cs="Times New Roman"/>
      <w:color w:val="51626F"/>
      <w:sz w:val="32"/>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Normal"/>
    <w:rsid w:val="00D64AF7"/>
    <w:pPr>
      <w:tabs>
        <w:tab w:val="left" w:pos="680"/>
      </w:tabs>
      <w:spacing w:before="240"/>
      <w:ind w:left="680" w:hanging="680"/>
      <w:jc w:val="center"/>
      <w:outlineLvl w:val="0"/>
    </w:pPr>
    <w:rPr>
      <w:rFonts w:ascii="Lucida Fax" w:eastAsia="Times New Roman" w:hAnsi="Lucida Fax" w:cs="Times New Roman"/>
      <w:color w:val="51626F"/>
      <w:sz w:val="32"/>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E4674F"/>
    <w:rPr>
      <w:rFonts w:ascii="Arial" w:hAnsi="Arial"/>
      <w:sz w:val="16"/>
      <w:vertAlign w:val="superscript"/>
    </w:rPr>
  </w:style>
  <w:style w:type="paragraph" w:customStyle="1" w:styleId="Numberedparagraph11">
    <w:name w:val="Numbered paragraph 1.1"/>
    <w:basedOn w:val="Numbered11"/>
    <w:qFormat/>
    <w:rsid w:val="009F2BE5"/>
    <w:pPr>
      <w:ind w:left="680" w:hanging="680"/>
      <w:outlineLvl w:val="9"/>
    </w:pPr>
    <w:rPr>
      <w:b w:val="0"/>
      <w:bCs w:val="0"/>
      <w:color w:val="auto"/>
      <w:sz w:val="22"/>
    </w:rPr>
  </w:style>
  <w:style w:type="character" w:customStyle="1" w:styleId="Numbered1Char">
    <w:name w:val="Numbered 1 Char"/>
    <w:basedOn w:val="Heading1Char"/>
    <w:link w:val="Numbered1"/>
    <w:rsid w:val="00F61B84"/>
    <w:rPr>
      <w:rFonts w:ascii="Lucida Fax" w:eastAsiaTheme="majorEastAsia" w:hAnsi="Lucida Fax" w:cstheme="majorBidi"/>
      <w:bCs/>
      <w:color w:val="51626F"/>
      <w:sz w:val="32"/>
      <w:szCs w:val="28"/>
    </w:rPr>
  </w:style>
  <w:style w:type="paragraph" w:customStyle="1" w:styleId="Numberedparagraph">
    <w:name w:val="Numbered paragraph"/>
    <w:basedOn w:val="Normal"/>
    <w:rsid w:val="00B60F5D"/>
    <w:pPr>
      <w:numPr>
        <w:numId w:val="1"/>
      </w:numPr>
      <w:ind w:left="680" w:hanging="680"/>
    </w:pPr>
    <w:rPr>
      <w:rFonts w:eastAsia="Times New Roman" w:cs="Times New Roman"/>
      <w:color w:val="000000" w:themeColor="text1" w:themeShade="BF"/>
      <w:szCs w:val="20"/>
    </w:rPr>
  </w:style>
  <w:style w:type="paragraph" w:customStyle="1" w:styleId="Listalphabet2">
    <w:name w:val="List alphabet 2"/>
    <w:rsid w:val="00CF799E"/>
    <w:pPr>
      <w:numPr>
        <w:numId w:val="13"/>
      </w:numPr>
      <w:tabs>
        <w:tab w:val="left" w:pos="680"/>
      </w:tabs>
      <w:spacing w:before="120"/>
    </w:pPr>
    <w:rPr>
      <w:rFonts w:ascii="Arial" w:hAnsi="Arial"/>
    </w:rPr>
  </w:style>
  <w:style w:type="paragraph" w:customStyle="1" w:styleId="Listalphabet3">
    <w:name w:val="List alphabet 3"/>
    <w:rsid w:val="00CF799E"/>
    <w:pPr>
      <w:numPr>
        <w:numId w:val="19"/>
      </w:numPr>
      <w:tabs>
        <w:tab w:val="left" w:pos="1021"/>
      </w:tabs>
      <w:spacing w:before="120"/>
    </w:pPr>
    <w:rPr>
      <w:rFonts w:ascii="Arial" w:hAnsi="Arial"/>
    </w:rPr>
  </w:style>
  <w:style w:type="paragraph" w:customStyle="1" w:styleId="Listalphabet4">
    <w:name w:val="List alphabet 4"/>
    <w:rsid w:val="00CF799E"/>
    <w:pPr>
      <w:numPr>
        <w:numId w:val="20"/>
      </w:numPr>
      <w:tabs>
        <w:tab w:val="left" w:pos="1361"/>
      </w:tabs>
      <w:spacing w:before="120"/>
    </w:pPr>
    <w:rPr>
      <w:rFonts w:ascii="Arial" w:hAnsi="Arial"/>
    </w:rPr>
  </w:style>
  <w:style w:type="paragraph" w:customStyle="1" w:styleId="Listalphabet5">
    <w:name w:val="List alphabet 5"/>
    <w:rsid w:val="00CF799E"/>
    <w:pPr>
      <w:numPr>
        <w:numId w:val="21"/>
      </w:numPr>
      <w:tabs>
        <w:tab w:val="left" w:pos="1701"/>
      </w:tabs>
      <w:spacing w:before="120"/>
    </w:pPr>
    <w:rPr>
      <w:rFonts w:ascii="Arial" w:hAnsi="Arial"/>
    </w:rPr>
  </w:style>
  <w:style w:type="paragraph" w:styleId="ListContinue5">
    <w:name w:val="List Continue 5"/>
    <w:basedOn w:val="Normal"/>
    <w:uiPriority w:val="99"/>
    <w:rsid w:val="00DC542F"/>
    <w:pPr>
      <w:tabs>
        <w:tab w:val="left" w:pos="1701"/>
      </w:tabs>
      <w:spacing w:before="120"/>
      <w:ind w:left="1701"/>
    </w:pPr>
  </w:style>
  <w:style w:type="paragraph" w:customStyle="1" w:styleId="Listalphabet">
    <w:name w:val="List alphabet"/>
    <w:qFormat/>
    <w:rsid w:val="003459E6"/>
    <w:pPr>
      <w:numPr>
        <w:numId w:val="22"/>
      </w:numPr>
      <w:tabs>
        <w:tab w:val="left" w:pos="340"/>
      </w:tabs>
      <w:spacing w:before="120"/>
    </w:pPr>
    <w:rPr>
      <w:rFonts w:ascii="Arial" w:hAnsi="Arial"/>
    </w:rPr>
  </w:style>
  <w:style w:type="paragraph" w:styleId="NoteHeading">
    <w:name w:val="Note Heading"/>
    <w:basedOn w:val="Normal"/>
    <w:next w:val="Normal"/>
    <w:link w:val="NoteHeadingChar"/>
    <w:uiPriority w:val="99"/>
    <w:semiHidden/>
    <w:unhideWhenUsed/>
    <w:rsid w:val="00F61B84"/>
    <w:pPr>
      <w:spacing w:before="0"/>
    </w:pPr>
  </w:style>
  <w:style w:type="character" w:customStyle="1" w:styleId="NoteHeadingChar">
    <w:name w:val="Note Heading Char"/>
    <w:basedOn w:val="DefaultParagraphFont"/>
    <w:link w:val="NoteHeading"/>
    <w:uiPriority w:val="99"/>
    <w:semiHidden/>
    <w:rsid w:val="00F61B84"/>
    <w:rPr>
      <w:rFonts w:ascii="Arial" w:hAnsi="Arial"/>
    </w:rPr>
  </w:style>
  <w:style w:type="character" w:styleId="SubtleReference">
    <w:name w:val="Subtle Reference"/>
    <w:basedOn w:val="DefaultParagraphFont"/>
    <w:uiPriority w:val="31"/>
    <w:unhideWhenUsed/>
    <w:rsid w:val="00B60F5D"/>
    <w:rPr>
      <w:smallCaps/>
      <w:color w:val="4F2D7D" w:themeColor="accent2"/>
      <w:u w:val="single"/>
    </w:rPr>
  </w:style>
  <w:style w:type="paragraph" w:customStyle="1" w:styleId="ListLegal">
    <w:name w:val="List Legal"/>
    <w:basedOn w:val="ListParagraph"/>
    <w:rsid w:val="00CF799E"/>
    <w:pPr>
      <w:numPr>
        <w:numId w:val="25"/>
      </w:numPr>
      <w:tabs>
        <w:tab w:val="clear" w:pos="340"/>
        <w:tab w:val="left" w:pos="680"/>
      </w:tabs>
    </w:pPr>
  </w:style>
  <w:style w:type="paragraph" w:customStyle="1" w:styleId="ListLegal2">
    <w:name w:val="List Legal 2"/>
    <w:basedOn w:val="ListLegal"/>
    <w:rsid w:val="00C06739"/>
    <w:pPr>
      <w:numPr>
        <w:numId w:val="16"/>
      </w:numPr>
      <w:tabs>
        <w:tab w:val="clear" w:pos="680"/>
        <w:tab w:val="left" w:pos="1021"/>
      </w:tabs>
    </w:pPr>
  </w:style>
  <w:style w:type="paragraph" w:customStyle="1" w:styleId="ListLegal3">
    <w:name w:val="List Legal 3"/>
    <w:basedOn w:val="ListNumber3"/>
    <w:rsid w:val="00CF799E"/>
    <w:pPr>
      <w:numPr>
        <w:numId w:val="15"/>
      </w:numPr>
      <w:tabs>
        <w:tab w:val="clear" w:pos="1021"/>
        <w:tab w:val="left" w:pos="1361"/>
      </w:tabs>
    </w:pPr>
  </w:style>
  <w:style w:type="paragraph" w:customStyle="1" w:styleId="ListLegal4">
    <w:name w:val="List Legal 4"/>
    <w:basedOn w:val="ListLegal3"/>
    <w:rsid w:val="00CF799E"/>
    <w:pPr>
      <w:numPr>
        <w:numId w:val="17"/>
      </w:numPr>
      <w:tabs>
        <w:tab w:val="clear" w:pos="1361"/>
        <w:tab w:val="left" w:pos="1701"/>
      </w:tabs>
    </w:pPr>
  </w:style>
  <w:style w:type="paragraph" w:customStyle="1" w:styleId="ListLegal5">
    <w:name w:val="List Legal 5"/>
    <w:basedOn w:val="ListLegal4"/>
    <w:rsid w:val="000F2368"/>
    <w:pPr>
      <w:numPr>
        <w:numId w:val="26"/>
      </w:numPr>
      <w:tabs>
        <w:tab w:val="clear" w:pos="1701"/>
        <w:tab w:val="left" w:pos="2041"/>
      </w:tabs>
    </w:pPr>
  </w:style>
  <w:style w:type="paragraph" w:customStyle="1" w:styleId="LegalNumbering">
    <w:name w:val="Legal Numbering"/>
    <w:basedOn w:val="Normal"/>
    <w:qFormat/>
    <w:rsid w:val="0002115F"/>
    <w:pPr>
      <w:numPr>
        <w:numId w:val="18"/>
      </w:numPr>
      <w:tabs>
        <w:tab w:val="left" w:pos="340"/>
        <w:tab w:val="left" w:pos="680"/>
        <w:tab w:val="left" w:pos="1021"/>
        <w:tab w:val="left" w:pos="1361"/>
      </w:tabs>
    </w:pPr>
  </w:style>
  <w:style w:type="table" w:customStyle="1" w:styleId="LightShading11">
    <w:name w:val="Light Shading11"/>
    <w:basedOn w:val="TableNormal"/>
    <w:next w:val="LightShading"/>
    <w:uiPriority w:val="60"/>
    <w:rsid w:val="00687F39"/>
    <w:pPr>
      <w:spacing w:before="120" w:after="120"/>
    </w:pPr>
    <w:rPr>
      <w:color w:val="000000" w:themeColor="text1" w:themeShade="BF"/>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b w:val="0"/>
        <w:bCs/>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224EBF"/>
    <w:pPr>
      <w:spacing w:before="0"/>
    </w:pPr>
    <w:rPr>
      <w:rFonts w:ascii="Times New Roman" w:eastAsia="Times New Roman" w:hAnsi="Times New Roman" w:cs="Times New Roman"/>
      <w:sz w:val="24"/>
      <w:szCs w:val="24"/>
      <w:lang w:eastAsia="en-AU"/>
    </w:rPr>
  </w:style>
  <w:style w:type="paragraph" w:customStyle="1" w:styleId="Default">
    <w:name w:val="Default"/>
    <w:rsid w:val="00AF34EA"/>
    <w:pPr>
      <w:autoSpaceDE w:val="0"/>
      <w:autoSpaceDN w:val="0"/>
      <w:adjustRightInd w:val="0"/>
      <w:spacing w:before="0"/>
    </w:pPr>
    <w:rPr>
      <w:rFonts w:ascii="Univers 45 Light" w:hAnsi="Univers 45 Light" w:cs="Univers 45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144903">
      <w:bodyDiv w:val="1"/>
      <w:marLeft w:val="390"/>
      <w:marRight w:val="390"/>
      <w:marTop w:val="390"/>
      <w:marBottom w:val="0"/>
      <w:divBdr>
        <w:top w:val="none" w:sz="0" w:space="0" w:color="auto"/>
        <w:left w:val="none" w:sz="0" w:space="0" w:color="auto"/>
        <w:bottom w:val="none" w:sz="0" w:space="0" w:color="auto"/>
        <w:right w:val="none" w:sz="0" w:space="0" w:color="auto"/>
      </w:divBdr>
      <w:divsChild>
        <w:div w:id="11228208">
          <w:marLeft w:val="600"/>
          <w:marRight w:val="0"/>
          <w:marTop w:val="0"/>
          <w:marBottom w:val="0"/>
          <w:divBdr>
            <w:top w:val="none" w:sz="0" w:space="0" w:color="auto"/>
            <w:left w:val="none" w:sz="0" w:space="0" w:color="auto"/>
            <w:bottom w:val="none" w:sz="0" w:space="0" w:color="auto"/>
            <w:right w:val="none" w:sz="0" w:space="0" w:color="auto"/>
          </w:divBdr>
          <w:divsChild>
            <w:div w:id="1766995932">
              <w:marLeft w:val="600"/>
              <w:marRight w:val="0"/>
              <w:marTop w:val="0"/>
              <w:marBottom w:val="0"/>
              <w:divBdr>
                <w:top w:val="none" w:sz="0" w:space="0" w:color="auto"/>
                <w:left w:val="none" w:sz="0" w:space="0" w:color="auto"/>
                <w:bottom w:val="none" w:sz="0" w:space="0" w:color="auto"/>
                <w:right w:val="none" w:sz="0" w:space="0" w:color="auto"/>
              </w:divBdr>
            </w:div>
            <w:div w:id="310646408">
              <w:marLeft w:val="720"/>
              <w:marRight w:val="0"/>
              <w:marTop w:val="0"/>
              <w:marBottom w:val="0"/>
              <w:divBdr>
                <w:top w:val="none" w:sz="0" w:space="0" w:color="auto"/>
                <w:left w:val="none" w:sz="0" w:space="0" w:color="auto"/>
                <w:bottom w:val="none" w:sz="0" w:space="0" w:color="auto"/>
                <w:right w:val="none" w:sz="0" w:space="0" w:color="auto"/>
              </w:divBdr>
            </w:div>
          </w:divsChild>
        </w:div>
        <w:div w:id="1771702059">
          <w:marLeft w:val="240"/>
          <w:marRight w:val="0"/>
          <w:marTop w:val="0"/>
          <w:marBottom w:val="0"/>
          <w:divBdr>
            <w:top w:val="none" w:sz="0" w:space="0" w:color="auto"/>
            <w:left w:val="none" w:sz="0" w:space="0" w:color="auto"/>
            <w:bottom w:val="none" w:sz="0" w:space="0" w:color="auto"/>
            <w:right w:val="none" w:sz="0" w:space="0" w:color="auto"/>
          </w:divBdr>
        </w:div>
        <w:div w:id="2017877996">
          <w:marLeft w:val="240"/>
          <w:marRight w:val="0"/>
          <w:marTop w:val="0"/>
          <w:marBottom w:val="0"/>
          <w:divBdr>
            <w:top w:val="none" w:sz="0" w:space="0" w:color="auto"/>
            <w:left w:val="none" w:sz="0" w:space="0" w:color="auto"/>
            <w:bottom w:val="none" w:sz="0" w:space="0" w:color="auto"/>
            <w:right w:val="none" w:sz="0" w:space="0" w:color="auto"/>
          </w:divBdr>
        </w:div>
      </w:divsChild>
    </w:div>
    <w:div w:id="306518907">
      <w:bodyDiv w:val="1"/>
      <w:marLeft w:val="0"/>
      <w:marRight w:val="0"/>
      <w:marTop w:val="0"/>
      <w:marBottom w:val="0"/>
      <w:divBdr>
        <w:top w:val="none" w:sz="0" w:space="0" w:color="auto"/>
        <w:left w:val="none" w:sz="0" w:space="0" w:color="auto"/>
        <w:bottom w:val="none" w:sz="0" w:space="0" w:color="auto"/>
        <w:right w:val="none" w:sz="0" w:space="0" w:color="auto"/>
      </w:divBdr>
      <w:divsChild>
        <w:div w:id="341518533">
          <w:marLeft w:val="0"/>
          <w:marRight w:val="0"/>
          <w:marTop w:val="0"/>
          <w:marBottom w:val="0"/>
          <w:divBdr>
            <w:top w:val="none" w:sz="0" w:space="0" w:color="auto"/>
            <w:left w:val="none" w:sz="0" w:space="0" w:color="auto"/>
            <w:bottom w:val="none" w:sz="0" w:space="0" w:color="auto"/>
            <w:right w:val="none" w:sz="0" w:space="0" w:color="auto"/>
          </w:divBdr>
          <w:divsChild>
            <w:div w:id="1785078797">
              <w:marLeft w:val="0"/>
              <w:marRight w:val="0"/>
              <w:marTop w:val="0"/>
              <w:marBottom w:val="0"/>
              <w:divBdr>
                <w:top w:val="none" w:sz="0" w:space="0" w:color="auto"/>
                <w:left w:val="none" w:sz="0" w:space="0" w:color="auto"/>
                <w:bottom w:val="none" w:sz="0" w:space="0" w:color="auto"/>
                <w:right w:val="none" w:sz="0" w:space="0" w:color="auto"/>
              </w:divBdr>
              <w:divsChild>
                <w:div w:id="1268852938">
                  <w:marLeft w:val="0"/>
                  <w:marRight w:val="0"/>
                  <w:marTop w:val="0"/>
                  <w:marBottom w:val="0"/>
                  <w:divBdr>
                    <w:top w:val="none" w:sz="0" w:space="0" w:color="auto"/>
                    <w:left w:val="none" w:sz="0" w:space="0" w:color="auto"/>
                    <w:bottom w:val="none" w:sz="0" w:space="0" w:color="auto"/>
                    <w:right w:val="none" w:sz="0" w:space="0" w:color="auto"/>
                  </w:divBdr>
                  <w:divsChild>
                    <w:div w:id="616958491">
                      <w:marLeft w:val="0"/>
                      <w:marRight w:val="0"/>
                      <w:marTop w:val="0"/>
                      <w:marBottom w:val="0"/>
                      <w:divBdr>
                        <w:top w:val="none" w:sz="0" w:space="0" w:color="auto"/>
                        <w:left w:val="none" w:sz="0" w:space="0" w:color="auto"/>
                        <w:bottom w:val="none" w:sz="0" w:space="0" w:color="auto"/>
                        <w:right w:val="none" w:sz="0" w:space="0" w:color="auto"/>
                      </w:divBdr>
                      <w:divsChild>
                        <w:div w:id="1577863514">
                          <w:marLeft w:val="0"/>
                          <w:marRight w:val="0"/>
                          <w:marTop w:val="0"/>
                          <w:marBottom w:val="0"/>
                          <w:divBdr>
                            <w:top w:val="none" w:sz="0" w:space="0" w:color="auto"/>
                            <w:left w:val="none" w:sz="0" w:space="0" w:color="auto"/>
                            <w:bottom w:val="none" w:sz="0" w:space="0" w:color="auto"/>
                            <w:right w:val="none" w:sz="0" w:space="0" w:color="auto"/>
                          </w:divBdr>
                          <w:divsChild>
                            <w:div w:id="1550265229">
                              <w:marLeft w:val="0"/>
                              <w:marRight w:val="0"/>
                              <w:marTop w:val="0"/>
                              <w:marBottom w:val="0"/>
                              <w:divBdr>
                                <w:top w:val="none" w:sz="0" w:space="0" w:color="auto"/>
                                <w:left w:val="none" w:sz="0" w:space="0" w:color="auto"/>
                                <w:bottom w:val="none" w:sz="0" w:space="0" w:color="auto"/>
                                <w:right w:val="none" w:sz="0" w:space="0" w:color="auto"/>
                              </w:divBdr>
                              <w:divsChild>
                                <w:div w:id="1924291346">
                                  <w:marLeft w:val="-225"/>
                                  <w:marRight w:val="-225"/>
                                  <w:marTop w:val="0"/>
                                  <w:marBottom w:val="0"/>
                                  <w:divBdr>
                                    <w:top w:val="none" w:sz="0" w:space="0" w:color="auto"/>
                                    <w:left w:val="none" w:sz="0" w:space="0" w:color="auto"/>
                                    <w:bottom w:val="none" w:sz="0" w:space="0" w:color="auto"/>
                                    <w:right w:val="none" w:sz="0" w:space="0" w:color="auto"/>
                                  </w:divBdr>
                                  <w:divsChild>
                                    <w:div w:id="763038604">
                                      <w:marLeft w:val="0"/>
                                      <w:marRight w:val="0"/>
                                      <w:marTop w:val="0"/>
                                      <w:marBottom w:val="0"/>
                                      <w:divBdr>
                                        <w:top w:val="none" w:sz="0" w:space="0" w:color="auto"/>
                                        <w:left w:val="none" w:sz="0" w:space="0" w:color="auto"/>
                                        <w:bottom w:val="none" w:sz="0" w:space="0" w:color="auto"/>
                                        <w:right w:val="none" w:sz="0" w:space="0" w:color="auto"/>
                                      </w:divBdr>
                                      <w:divsChild>
                                        <w:div w:id="1813405460">
                                          <w:marLeft w:val="0"/>
                                          <w:marRight w:val="0"/>
                                          <w:marTop w:val="240"/>
                                          <w:marBottom w:val="240"/>
                                          <w:divBdr>
                                            <w:top w:val="none" w:sz="0" w:space="0" w:color="auto"/>
                                            <w:left w:val="none" w:sz="0" w:space="0" w:color="auto"/>
                                            <w:bottom w:val="none" w:sz="0" w:space="0" w:color="auto"/>
                                            <w:right w:val="none" w:sz="0" w:space="0" w:color="auto"/>
                                          </w:divBdr>
                                          <w:divsChild>
                                            <w:div w:id="67492015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122115323">
      <w:bodyDiv w:val="1"/>
      <w:marLeft w:val="0"/>
      <w:marRight w:val="0"/>
      <w:marTop w:val="0"/>
      <w:marBottom w:val="0"/>
      <w:divBdr>
        <w:top w:val="none" w:sz="0" w:space="0" w:color="auto"/>
        <w:left w:val="none" w:sz="0" w:space="0" w:color="auto"/>
        <w:bottom w:val="none" w:sz="0" w:space="0" w:color="auto"/>
        <w:right w:val="none" w:sz="0" w:space="0" w:color="auto"/>
      </w:divBdr>
      <w:divsChild>
        <w:div w:id="975335370">
          <w:marLeft w:val="0"/>
          <w:marRight w:val="0"/>
          <w:marTop w:val="0"/>
          <w:marBottom w:val="0"/>
          <w:divBdr>
            <w:top w:val="none" w:sz="0" w:space="0" w:color="auto"/>
            <w:left w:val="none" w:sz="0" w:space="0" w:color="auto"/>
            <w:bottom w:val="none" w:sz="0" w:space="0" w:color="auto"/>
            <w:right w:val="none" w:sz="0" w:space="0" w:color="auto"/>
          </w:divBdr>
          <w:divsChild>
            <w:div w:id="1601177859">
              <w:marLeft w:val="0"/>
              <w:marRight w:val="0"/>
              <w:marTop w:val="0"/>
              <w:marBottom w:val="0"/>
              <w:divBdr>
                <w:top w:val="none" w:sz="0" w:space="0" w:color="auto"/>
                <w:left w:val="none" w:sz="0" w:space="0" w:color="auto"/>
                <w:bottom w:val="none" w:sz="0" w:space="0" w:color="auto"/>
                <w:right w:val="none" w:sz="0" w:space="0" w:color="auto"/>
              </w:divBdr>
              <w:divsChild>
                <w:div w:id="1651858561">
                  <w:marLeft w:val="0"/>
                  <w:marRight w:val="0"/>
                  <w:marTop w:val="0"/>
                  <w:marBottom w:val="0"/>
                  <w:divBdr>
                    <w:top w:val="none" w:sz="0" w:space="0" w:color="auto"/>
                    <w:left w:val="none" w:sz="0" w:space="0" w:color="auto"/>
                    <w:bottom w:val="none" w:sz="0" w:space="0" w:color="auto"/>
                    <w:right w:val="none" w:sz="0" w:space="0" w:color="auto"/>
                  </w:divBdr>
                  <w:divsChild>
                    <w:div w:id="683632606">
                      <w:marLeft w:val="0"/>
                      <w:marRight w:val="0"/>
                      <w:marTop w:val="0"/>
                      <w:marBottom w:val="0"/>
                      <w:divBdr>
                        <w:top w:val="none" w:sz="0" w:space="0" w:color="auto"/>
                        <w:left w:val="none" w:sz="0" w:space="0" w:color="auto"/>
                        <w:bottom w:val="none" w:sz="0" w:space="0" w:color="auto"/>
                        <w:right w:val="none" w:sz="0" w:space="0" w:color="auto"/>
                      </w:divBdr>
                      <w:divsChild>
                        <w:div w:id="425855501">
                          <w:marLeft w:val="0"/>
                          <w:marRight w:val="0"/>
                          <w:marTop w:val="0"/>
                          <w:marBottom w:val="0"/>
                          <w:divBdr>
                            <w:top w:val="none" w:sz="0" w:space="0" w:color="auto"/>
                            <w:left w:val="none" w:sz="0" w:space="0" w:color="auto"/>
                            <w:bottom w:val="none" w:sz="0" w:space="0" w:color="auto"/>
                            <w:right w:val="none" w:sz="0" w:space="0" w:color="auto"/>
                          </w:divBdr>
                          <w:divsChild>
                            <w:div w:id="740712589">
                              <w:marLeft w:val="0"/>
                              <w:marRight w:val="0"/>
                              <w:marTop w:val="0"/>
                              <w:marBottom w:val="0"/>
                              <w:divBdr>
                                <w:top w:val="none" w:sz="0" w:space="0" w:color="auto"/>
                                <w:left w:val="none" w:sz="0" w:space="0" w:color="auto"/>
                                <w:bottom w:val="none" w:sz="0" w:space="0" w:color="auto"/>
                                <w:right w:val="none" w:sz="0" w:space="0" w:color="auto"/>
                              </w:divBdr>
                              <w:divsChild>
                                <w:div w:id="705065716">
                                  <w:marLeft w:val="-225"/>
                                  <w:marRight w:val="-225"/>
                                  <w:marTop w:val="0"/>
                                  <w:marBottom w:val="0"/>
                                  <w:divBdr>
                                    <w:top w:val="none" w:sz="0" w:space="0" w:color="auto"/>
                                    <w:left w:val="none" w:sz="0" w:space="0" w:color="auto"/>
                                    <w:bottom w:val="none" w:sz="0" w:space="0" w:color="auto"/>
                                    <w:right w:val="none" w:sz="0" w:space="0" w:color="auto"/>
                                  </w:divBdr>
                                  <w:divsChild>
                                    <w:div w:id="1287077800">
                                      <w:marLeft w:val="0"/>
                                      <w:marRight w:val="0"/>
                                      <w:marTop w:val="0"/>
                                      <w:marBottom w:val="0"/>
                                      <w:divBdr>
                                        <w:top w:val="none" w:sz="0" w:space="0" w:color="auto"/>
                                        <w:left w:val="none" w:sz="0" w:space="0" w:color="auto"/>
                                        <w:bottom w:val="none" w:sz="0" w:space="0" w:color="auto"/>
                                        <w:right w:val="none" w:sz="0" w:space="0" w:color="auto"/>
                                      </w:divBdr>
                                      <w:divsChild>
                                        <w:div w:id="232013457">
                                          <w:marLeft w:val="0"/>
                                          <w:marRight w:val="0"/>
                                          <w:marTop w:val="240"/>
                                          <w:marBottom w:val="240"/>
                                          <w:divBdr>
                                            <w:top w:val="none" w:sz="0" w:space="0" w:color="auto"/>
                                            <w:left w:val="none" w:sz="0" w:space="0" w:color="auto"/>
                                            <w:bottom w:val="none" w:sz="0" w:space="0" w:color="auto"/>
                                            <w:right w:val="none" w:sz="0" w:space="0" w:color="auto"/>
                                          </w:divBdr>
                                          <w:divsChild>
                                            <w:div w:id="95767961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4516710">
      <w:bodyDiv w:val="1"/>
      <w:marLeft w:val="0"/>
      <w:marRight w:val="0"/>
      <w:marTop w:val="0"/>
      <w:marBottom w:val="0"/>
      <w:divBdr>
        <w:top w:val="none" w:sz="0" w:space="0" w:color="auto"/>
        <w:left w:val="none" w:sz="0" w:space="0" w:color="auto"/>
        <w:bottom w:val="none" w:sz="0" w:space="0" w:color="auto"/>
        <w:right w:val="none" w:sz="0" w:space="0" w:color="auto"/>
      </w:divBdr>
      <w:divsChild>
        <w:div w:id="1412461961">
          <w:marLeft w:val="0"/>
          <w:marRight w:val="0"/>
          <w:marTop w:val="100"/>
          <w:marBottom w:val="100"/>
          <w:divBdr>
            <w:top w:val="none" w:sz="0" w:space="0" w:color="auto"/>
            <w:left w:val="none" w:sz="0" w:space="0" w:color="auto"/>
            <w:bottom w:val="none" w:sz="0" w:space="0" w:color="auto"/>
            <w:right w:val="none" w:sz="0" w:space="0" w:color="auto"/>
          </w:divBdr>
          <w:divsChild>
            <w:div w:id="467014946">
              <w:marLeft w:val="0"/>
              <w:marRight w:val="0"/>
              <w:marTop w:val="0"/>
              <w:marBottom w:val="0"/>
              <w:divBdr>
                <w:top w:val="none" w:sz="0" w:space="0" w:color="auto"/>
                <w:left w:val="none" w:sz="0" w:space="0" w:color="auto"/>
                <w:bottom w:val="none" w:sz="0" w:space="0" w:color="auto"/>
                <w:right w:val="none" w:sz="0" w:space="0" w:color="auto"/>
              </w:divBdr>
              <w:divsChild>
                <w:div w:id="287398400">
                  <w:marLeft w:val="0"/>
                  <w:marRight w:val="0"/>
                  <w:marTop w:val="0"/>
                  <w:marBottom w:val="0"/>
                  <w:divBdr>
                    <w:top w:val="none" w:sz="0" w:space="0" w:color="auto"/>
                    <w:left w:val="none" w:sz="0" w:space="0" w:color="auto"/>
                    <w:bottom w:val="none" w:sz="0" w:space="0" w:color="auto"/>
                    <w:right w:val="none" w:sz="0" w:space="0" w:color="auto"/>
                  </w:divBdr>
                  <w:divsChild>
                    <w:div w:id="1117481435">
                      <w:marLeft w:val="0"/>
                      <w:marRight w:val="0"/>
                      <w:marTop w:val="0"/>
                      <w:marBottom w:val="0"/>
                      <w:divBdr>
                        <w:top w:val="none" w:sz="0" w:space="0" w:color="auto"/>
                        <w:left w:val="none" w:sz="0" w:space="0" w:color="auto"/>
                        <w:bottom w:val="none" w:sz="0" w:space="0" w:color="auto"/>
                        <w:right w:val="none" w:sz="0" w:space="0" w:color="auto"/>
                      </w:divBdr>
                      <w:divsChild>
                        <w:div w:id="1751542069">
                          <w:marLeft w:val="0"/>
                          <w:marRight w:val="0"/>
                          <w:marTop w:val="0"/>
                          <w:marBottom w:val="0"/>
                          <w:divBdr>
                            <w:top w:val="none" w:sz="0" w:space="0" w:color="auto"/>
                            <w:left w:val="none" w:sz="0" w:space="0" w:color="auto"/>
                            <w:bottom w:val="none" w:sz="0" w:space="0" w:color="auto"/>
                            <w:right w:val="none" w:sz="0" w:space="0" w:color="auto"/>
                          </w:divBdr>
                          <w:divsChild>
                            <w:div w:id="1201356510">
                              <w:marLeft w:val="0"/>
                              <w:marRight w:val="0"/>
                              <w:marTop w:val="0"/>
                              <w:marBottom w:val="0"/>
                              <w:divBdr>
                                <w:top w:val="none" w:sz="0" w:space="0" w:color="auto"/>
                                <w:left w:val="none" w:sz="0" w:space="0" w:color="auto"/>
                                <w:bottom w:val="none" w:sz="0" w:space="0" w:color="auto"/>
                                <w:right w:val="none" w:sz="0" w:space="0" w:color="auto"/>
                              </w:divBdr>
                              <w:divsChild>
                                <w:div w:id="193154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9271286">
      <w:bodyDiv w:val="1"/>
      <w:marLeft w:val="0"/>
      <w:marRight w:val="0"/>
      <w:marTop w:val="0"/>
      <w:marBottom w:val="0"/>
      <w:divBdr>
        <w:top w:val="none" w:sz="0" w:space="0" w:color="auto"/>
        <w:left w:val="none" w:sz="0" w:space="0" w:color="auto"/>
        <w:bottom w:val="none" w:sz="0" w:space="0" w:color="auto"/>
        <w:right w:val="none" w:sz="0" w:space="0" w:color="auto"/>
      </w:divBdr>
      <w:divsChild>
        <w:div w:id="871307901">
          <w:marLeft w:val="0"/>
          <w:marRight w:val="0"/>
          <w:marTop w:val="100"/>
          <w:marBottom w:val="100"/>
          <w:divBdr>
            <w:top w:val="none" w:sz="0" w:space="0" w:color="auto"/>
            <w:left w:val="none" w:sz="0" w:space="0" w:color="auto"/>
            <w:bottom w:val="none" w:sz="0" w:space="0" w:color="auto"/>
            <w:right w:val="none" w:sz="0" w:space="0" w:color="auto"/>
          </w:divBdr>
          <w:divsChild>
            <w:div w:id="1562908858">
              <w:marLeft w:val="0"/>
              <w:marRight w:val="0"/>
              <w:marTop w:val="0"/>
              <w:marBottom w:val="0"/>
              <w:divBdr>
                <w:top w:val="none" w:sz="0" w:space="0" w:color="auto"/>
                <w:left w:val="none" w:sz="0" w:space="0" w:color="auto"/>
                <w:bottom w:val="none" w:sz="0" w:space="0" w:color="auto"/>
                <w:right w:val="none" w:sz="0" w:space="0" w:color="auto"/>
              </w:divBdr>
              <w:divsChild>
                <w:div w:id="1312834820">
                  <w:marLeft w:val="0"/>
                  <w:marRight w:val="0"/>
                  <w:marTop w:val="0"/>
                  <w:marBottom w:val="0"/>
                  <w:divBdr>
                    <w:top w:val="none" w:sz="0" w:space="0" w:color="auto"/>
                    <w:left w:val="none" w:sz="0" w:space="0" w:color="auto"/>
                    <w:bottom w:val="none" w:sz="0" w:space="0" w:color="auto"/>
                    <w:right w:val="none" w:sz="0" w:space="0" w:color="auto"/>
                  </w:divBdr>
                  <w:divsChild>
                    <w:div w:id="1679038237">
                      <w:marLeft w:val="0"/>
                      <w:marRight w:val="0"/>
                      <w:marTop w:val="0"/>
                      <w:marBottom w:val="0"/>
                      <w:divBdr>
                        <w:top w:val="none" w:sz="0" w:space="0" w:color="auto"/>
                        <w:left w:val="none" w:sz="0" w:space="0" w:color="auto"/>
                        <w:bottom w:val="none" w:sz="0" w:space="0" w:color="auto"/>
                        <w:right w:val="none" w:sz="0" w:space="0" w:color="auto"/>
                      </w:divBdr>
                      <w:divsChild>
                        <w:div w:id="168469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emf"/><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australiansubscriptionboxes.blogspot.com.au/p/currently-available-boxes.html" TargetMode="External"/><Relationship Id="rId5" Type="http://schemas.microsoft.com/office/2007/relationships/stylesWithEffects" Target="stylesWithEffect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ACCC%20Report%20Template.dotm"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[pick the 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20F990-C7CE-4EB3-8858-306E6F97F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ACCC Report Template</Template>
  <TotalTime>0</TotalTime>
  <Pages>11</Pages>
  <Words>2104</Words>
  <Characters>11994</Characters>
  <Application>Microsoft Office Word</Application>
  <DocSecurity>4</DocSecurity>
  <Lines>99</Lines>
  <Paragraphs>28</Paragraphs>
  <ScaleCrop>false</ScaleCrop>
  <HeadingPairs>
    <vt:vector size="2" baseType="variant">
      <vt:variant>
        <vt:lpstr>Title</vt:lpstr>
      </vt:variant>
      <vt:variant>
        <vt:i4>1</vt:i4>
      </vt:variant>
    </vt:vector>
  </HeadingPairs>
  <TitlesOfParts>
    <vt:vector size="1" baseType="lpstr">
      <vt:lpstr>[Document title]</vt:lpstr>
    </vt:vector>
  </TitlesOfParts>
  <Company>ACCC</Company>
  <LinksUpToDate>false</LinksUpToDate>
  <CharactersWithSpaces>14070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[subtitle]</dc:subject>
  <dc:creator>Angus, Sophie</dc:creator>
  <cp:lastModifiedBy>Carmody, Cameron</cp:lastModifiedBy>
  <cp:revision>2</cp:revision>
  <cp:lastPrinted>2015-11-17T02:46:00Z</cp:lastPrinted>
  <dcterms:created xsi:type="dcterms:W3CDTF">2015-11-17T02:57:00Z</dcterms:created>
  <dcterms:modified xsi:type="dcterms:W3CDTF">2015-11-17T02:57:00Z</dcterms:modified>
</cp:coreProperties>
</file>